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38F5">
      <w:pPr>
        <w:widowControl w:val="0"/>
        <w:kinsoku/>
        <w:autoSpaceDE/>
        <w:autoSpaceDN/>
        <w:adjustRightInd/>
        <w:snapToGrid/>
        <w:jc w:val="both"/>
        <w:textAlignment w:val="auto"/>
        <w:rPr>
          <w:rFonts w:ascii="宋体" w:hAnsi="Times New Roman" w:eastAsia="宋体" w:cs="Times New Roman"/>
          <w:snapToGrid/>
          <w:sz w:val="24"/>
          <w:szCs w:val="20"/>
          <w:lang w:eastAsia="zh-CN"/>
        </w:rPr>
      </w:pPr>
    </w:p>
    <w:p w14:paraId="7531065D">
      <w:pPr>
        <w:widowControl w:val="0"/>
        <w:kinsoku/>
        <w:autoSpaceDE/>
        <w:autoSpaceDN/>
        <w:adjustRightInd/>
        <w:snapToGrid/>
        <w:spacing w:before="332" w:line="220" w:lineRule="auto"/>
        <w:jc w:val="center"/>
        <w:textAlignment w:val="auto"/>
        <w:rPr>
          <w:rFonts w:hint="eastAsia" w:ascii="宋体" w:hAnsi="宋体" w:eastAsia="宋体" w:cs="宋体"/>
          <w:snapToGrid/>
          <w:sz w:val="48"/>
          <w:szCs w:val="48"/>
          <w:lang w:eastAsia="zh-CN"/>
        </w:rPr>
      </w:pPr>
      <w:bookmarkStart w:id="0" w:name="_Toc306204880"/>
      <w:bookmarkStart w:id="1" w:name="_Toc24180"/>
      <w:bookmarkStart w:id="2" w:name="_Toc200336327"/>
      <w:r>
        <w:rPr>
          <w:rFonts w:hint="eastAsia" w:ascii="宋体" w:hAnsi="宋体" w:eastAsia="宋体" w:cs="宋体"/>
          <w:b/>
          <w:snapToGrid/>
          <w:spacing w:val="-14"/>
          <w:sz w:val="48"/>
          <w:szCs w:val="48"/>
          <w:lang w:eastAsia="zh-CN"/>
        </w:rPr>
        <w:t>淮河流域霍邱段城东湖主要支流湿地净化工程（EPC）</w:t>
      </w:r>
    </w:p>
    <w:p w14:paraId="74CE052F">
      <w:pPr>
        <w:widowControl w:val="0"/>
        <w:spacing w:after="60" w:line="352" w:lineRule="auto"/>
        <w:ind w:left="63" w:leftChars="30" w:right="63" w:rightChars="30"/>
        <w:jc w:val="center"/>
        <w:rPr>
          <w:rFonts w:ascii="Times New Roman" w:hAnsi="Times New Roman" w:eastAsia="宋体" w:cs="Times New Roman"/>
          <w:lang w:eastAsia="zh-CN"/>
        </w:rPr>
      </w:pPr>
    </w:p>
    <w:p w14:paraId="1EA9CF64">
      <w:pPr>
        <w:widowControl w:val="0"/>
        <w:spacing w:after="60" w:line="352" w:lineRule="auto"/>
        <w:ind w:left="63" w:leftChars="30" w:right="63" w:rightChars="30"/>
        <w:jc w:val="center"/>
        <w:rPr>
          <w:rFonts w:ascii="Times New Roman" w:hAnsi="Times New Roman" w:eastAsia="宋体" w:cs="Times New Roman"/>
          <w:lang w:eastAsia="zh-CN"/>
        </w:rPr>
      </w:pPr>
    </w:p>
    <w:p w14:paraId="7385F7C8">
      <w:pPr>
        <w:widowControl w:val="0"/>
        <w:kinsoku/>
        <w:autoSpaceDE/>
        <w:autoSpaceDN/>
        <w:adjustRightInd/>
        <w:snapToGrid/>
        <w:spacing w:before="273" w:line="220" w:lineRule="auto"/>
        <w:ind w:left="2539"/>
        <w:jc w:val="both"/>
        <w:textAlignment w:val="auto"/>
        <w:rPr>
          <w:rFonts w:hint="eastAsia" w:ascii="宋体" w:hAnsi="宋体" w:eastAsia="宋体" w:cs="宋体"/>
          <w:snapToGrid/>
          <w:sz w:val="84"/>
          <w:szCs w:val="84"/>
          <w:lang w:eastAsia="zh-CN"/>
        </w:rPr>
      </w:pPr>
      <w:r>
        <w:rPr>
          <w:rFonts w:hint="eastAsia" w:ascii="宋体" w:hAnsi="宋体" w:eastAsia="宋体" w:cs="宋体"/>
          <w:snapToGrid/>
          <w:spacing w:val="-7"/>
          <w:sz w:val="84"/>
          <w:szCs w:val="84"/>
          <w:lang w:eastAsia="zh-CN"/>
        </w:rPr>
        <w:t>招标文件</w:t>
      </w:r>
    </w:p>
    <w:p w14:paraId="757FA64B">
      <w:pPr>
        <w:widowControl w:val="0"/>
        <w:spacing w:after="60" w:line="418" w:lineRule="auto"/>
        <w:ind w:left="63" w:leftChars="30" w:right="63" w:rightChars="30"/>
        <w:jc w:val="center"/>
        <w:rPr>
          <w:rFonts w:ascii="Times New Roman" w:hAnsi="Times New Roman" w:eastAsia="宋体" w:cs="Times New Roman"/>
          <w:lang w:eastAsia="zh-CN"/>
        </w:rPr>
      </w:pPr>
    </w:p>
    <w:p w14:paraId="3D1B8827">
      <w:pPr>
        <w:widowControl w:val="0"/>
        <w:kinsoku/>
        <w:autoSpaceDE/>
        <w:autoSpaceDN/>
        <w:adjustRightInd/>
        <w:snapToGrid/>
        <w:spacing w:before="100" w:line="225" w:lineRule="auto"/>
        <w:ind w:firstLine="2528" w:firstLineChars="800"/>
        <w:jc w:val="both"/>
        <w:textAlignment w:val="auto"/>
        <w:rPr>
          <w:rFonts w:hint="eastAsia" w:ascii="宋体" w:hAnsi="宋体" w:eastAsia="宋体" w:cs="宋体"/>
          <w:snapToGrid/>
          <w:sz w:val="31"/>
          <w:szCs w:val="31"/>
          <w:lang w:eastAsia="zh-CN"/>
        </w:rPr>
      </w:pPr>
      <w:r>
        <w:rPr>
          <w:rFonts w:hint="eastAsia" w:ascii="宋体" w:hAnsi="宋体" w:eastAsia="宋体" w:cs="宋体"/>
          <w:snapToGrid/>
          <w:spacing w:val="3"/>
          <w:sz w:val="31"/>
          <w:szCs w:val="31"/>
          <w:lang w:eastAsia="zh-CN"/>
        </w:rPr>
        <w:t>（适用不见面开标）</w:t>
      </w:r>
    </w:p>
    <w:p w14:paraId="64431236">
      <w:pPr>
        <w:widowControl w:val="0"/>
        <w:spacing w:after="60" w:line="464" w:lineRule="auto"/>
        <w:ind w:left="63" w:leftChars="30" w:right="63" w:rightChars="30"/>
        <w:jc w:val="center"/>
        <w:rPr>
          <w:rFonts w:ascii="Times New Roman" w:hAnsi="Times New Roman" w:eastAsia="宋体" w:cs="Times New Roman"/>
          <w:lang w:eastAsia="zh-CN"/>
        </w:rPr>
      </w:pPr>
    </w:p>
    <w:p w14:paraId="7C1E9DD8">
      <w:pPr>
        <w:widowControl w:val="0"/>
        <w:kinsoku/>
        <w:autoSpaceDE/>
        <w:autoSpaceDN/>
        <w:adjustRightInd/>
        <w:snapToGrid/>
        <w:spacing w:before="100" w:line="225" w:lineRule="auto"/>
        <w:ind w:left="2102"/>
        <w:jc w:val="both"/>
        <w:textAlignment w:val="auto"/>
        <w:rPr>
          <w:rFonts w:hint="eastAsia" w:ascii="仿宋" w:hAnsi="仿宋" w:eastAsia="仿宋" w:cs="仿宋"/>
          <w:snapToGrid/>
          <w:sz w:val="31"/>
          <w:szCs w:val="31"/>
          <w:lang w:eastAsia="zh-CN"/>
        </w:rPr>
      </w:pPr>
      <w:r>
        <w:rPr>
          <w:rFonts w:hint="eastAsia" w:ascii="宋体" w:hAnsi="宋体" w:eastAsia="宋体" w:cs="宋体"/>
          <w:snapToGrid/>
          <w:spacing w:val="5"/>
          <w:sz w:val="31"/>
          <w:szCs w:val="31"/>
          <w:lang w:eastAsia="zh-CN"/>
        </w:rPr>
        <w:t>招标编号：</w:t>
      </w:r>
    </w:p>
    <w:p w14:paraId="3D9A6DD1">
      <w:pPr>
        <w:widowControl w:val="0"/>
        <w:spacing w:after="60" w:line="360" w:lineRule="atLeast"/>
        <w:ind w:left="63" w:leftChars="30" w:right="63" w:rightChars="30"/>
        <w:jc w:val="center"/>
        <w:rPr>
          <w:rFonts w:ascii="Times New Roman" w:hAnsi="Times New Roman" w:eastAsia="宋体" w:cs="Times New Roman"/>
          <w:lang w:eastAsia="zh-CN"/>
        </w:rPr>
      </w:pPr>
    </w:p>
    <w:p w14:paraId="6873B8A0">
      <w:pPr>
        <w:widowControl w:val="0"/>
        <w:spacing w:after="60" w:line="360" w:lineRule="atLeast"/>
        <w:ind w:left="63" w:leftChars="30" w:right="63" w:rightChars="30"/>
        <w:jc w:val="center"/>
        <w:rPr>
          <w:rFonts w:ascii="Times New Roman" w:hAnsi="Times New Roman" w:eastAsia="宋体" w:cs="Times New Roman"/>
          <w:lang w:eastAsia="zh-CN"/>
        </w:rPr>
      </w:pPr>
    </w:p>
    <w:p w14:paraId="3A7EB9D4">
      <w:pPr>
        <w:widowControl w:val="0"/>
        <w:spacing w:after="60" w:line="360" w:lineRule="atLeast"/>
        <w:ind w:left="63" w:leftChars="30" w:right="63" w:rightChars="30"/>
        <w:jc w:val="center"/>
        <w:rPr>
          <w:rFonts w:ascii="Times New Roman" w:hAnsi="Times New Roman" w:eastAsia="宋体" w:cs="Times New Roman"/>
          <w:lang w:eastAsia="zh-CN"/>
        </w:rPr>
      </w:pPr>
    </w:p>
    <w:p w14:paraId="2AABBC7B">
      <w:pPr>
        <w:widowControl w:val="0"/>
        <w:spacing w:after="60" w:line="360" w:lineRule="atLeast"/>
        <w:ind w:left="63" w:leftChars="30" w:right="63" w:rightChars="30"/>
        <w:jc w:val="center"/>
        <w:rPr>
          <w:rFonts w:ascii="Times New Roman" w:hAnsi="Times New Roman" w:eastAsia="宋体" w:cs="Times New Roman"/>
          <w:lang w:eastAsia="zh-CN"/>
        </w:rPr>
      </w:pPr>
    </w:p>
    <w:p w14:paraId="196A7295">
      <w:pPr>
        <w:widowControl w:val="0"/>
        <w:spacing w:after="60" w:line="360" w:lineRule="atLeast"/>
        <w:ind w:left="63" w:leftChars="30" w:right="63" w:rightChars="30"/>
        <w:jc w:val="center"/>
        <w:rPr>
          <w:rFonts w:ascii="Times New Roman" w:hAnsi="Times New Roman" w:eastAsia="宋体" w:cs="Times New Roman"/>
          <w:lang w:eastAsia="zh-CN"/>
        </w:rPr>
      </w:pPr>
    </w:p>
    <w:p w14:paraId="23BA84F0">
      <w:pPr>
        <w:widowControl w:val="0"/>
        <w:spacing w:after="60" w:line="241" w:lineRule="auto"/>
        <w:ind w:left="63" w:leftChars="30" w:right="63" w:rightChars="30"/>
        <w:jc w:val="center"/>
        <w:rPr>
          <w:rFonts w:ascii="Times New Roman" w:hAnsi="Times New Roman" w:eastAsia="宋体" w:cs="Times New Roman"/>
          <w:lang w:eastAsia="zh-CN"/>
        </w:rPr>
      </w:pPr>
    </w:p>
    <w:p w14:paraId="458AB79D">
      <w:pPr>
        <w:widowControl w:val="0"/>
        <w:spacing w:after="60" w:line="241" w:lineRule="auto"/>
        <w:ind w:left="63" w:leftChars="30" w:right="63" w:rightChars="30"/>
        <w:jc w:val="center"/>
        <w:rPr>
          <w:rFonts w:ascii="Times New Roman" w:hAnsi="Times New Roman" w:eastAsia="宋体" w:cs="Times New Roman"/>
          <w:lang w:eastAsia="zh-CN"/>
        </w:rPr>
      </w:pPr>
    </w:p>
    <w:p w14:paraId="75B2E65C">
      <w:pPr>
        <w:widowControl w:val="0"/>
        <w:spacing w:after="60" w:line="241" w:lineRule="auto"/>
        <w:ind w:left="63" w:leftChars="30" w:right="63" w:rightChars="30"/>
        <w:jc w:val="center"/>
        <w:rPr>
          <w:rFonts w:ascii="Times New Roman" w:hAnsi="Times New Roman" w:eastAsia="宋体" w:cs="Times New Roman"/>
          <w:lang w:eastAsia="zh-CN"/>
        </w:rPr>
      </w:pPr>
    </w:p>
    <w:p w14:paraId="6B3C5FF0">
      <w:pPr>
        <w:widowControl w:val="0"/>
        <w:kinsoku/>
        <w:autoSpaceDE/>
        <w:autoSpaceDN/>
        <w:spacing w:before="269" w:line="480" w:lineRule="auto"/>
        <w:ind w:firstLine="353" w:firstLineChars="100"/>
        <w:jc w:val="both"/>
        <w:textAlignment w:val="auto"/>
        <w:rPr>
          <w:rFonts w:hint="eastAsia" w:ascii="宋体" w:hAnsi="宋体" w:eastAsia="宋体" w:cs="宋体"/>
          <w:b/>
          <w:snapToGrid/>
          <w:spacing w:val="-4"/>
          <w:sz w:val="36"/>
          <w:szCs w:val="36"/>
          <w:lang w:eastAsia="zh-CN"/>
        </w:rPr>
      </w:pPr>
      <w:r>
        <w:rPr>
          <w:rFonts w:hint="eastAsia" w:ascii="宋体" w:hAnsi="宋体" w:eastAsia="宋体" w:cs="宋体"/>
          <w:b/>
          <w:snapToGrid/>
          <w:spacing w:val="-4"/>
          <w:sz w:val="36"/>
          <w:szCs w:val="36"/>
          <w:lang w:eastAsia="zh-CN"/>
        </w:rPr>
        <w:t>招标单位：霍邱县东西湖水资源保护利用中心</w:t>
      </w:r>
    </w:p>
    <w:p w14:paraId="06397898">
      <w:pPr>
        <w:widowControl w:val="0"/>
        <w:spacing w:after="60" w:line="480" w:lineRule="auto"/>
        <w:ind w:left="63" w:leftChars="30" w:right="63" w:rightChars="30" w:firstLine="353" w:firstLineChars="100"/>
        <w:jc w:val="both"/>
        <w:rPr>
          <w:rFonts w:ascii="Times New Roman" w:hAnsi="Times New Roman" w:eastAsia="宋体" w:cs="Times New Roman"/>
          <w:lang w:eastAsia="zh-CN"/>
        </w:rPr>
      </w:pPr>
      <w:r>
        <w:rPr>
          <w:rFonts w:hint="eastAsia" w:ascii="宋体" w:hAnsi="宋体" w:eastAsia="宋体" w:cs="宋体"/>
          <w:b/>
          <w:spacing w:val="-4"/>
          <w:sz w:val="36"/>
          <w:szCs w:val="36"/>
          <w:lang w:eastAsia="zh-CN"/>
        </w:rPr>
        <w:t>代理单位：安徽蓼欣项目管理咨询有限公司</w:t>
      </w:r>
    </w:p>
    <w:p w14:paraId="65D4232D">
      <w:pPr>
        <w:widowControl w:val="0"/>
        <w:kinsoku/>
        <w:autoSpaceDE/>
        <w:autoSpaceDN/>
        <w:adjustRightInd/>
        <w:snapToGrid/>
        <w:spacing w:before="118" w:line="220" w:lineRule="auto"/>
        <w:ind w:left="3280"/>
        <w:jc w:val="both"/>
        <w:textAlignment w:val="auto"/>
        <w:rPr>
          <w:rFonts w:hint="eastAsia" w:ascii="宋体" w:hAnsi="宋体" w:eastAsia="宋体" w:cs="宋体"/>
          <w:snapToGrid/>
          <w:sz w:val="36"/>
          <w:szCs w:val="36"/>
          <w:lang w:eastAsia="zh-CN"/>
        </w:rPr>
      </w:pPr>
      <w:r>
        <w:rPr>
          <w:rFonts w:hint="eastAsia" w:ascii="宋体" w:hAnsi="宋体" w:eastAsia="宋体" w:cs="宋体"/>
          <w:b/>
          <w:snapToGrid/>
          <w:spacing w:val="-5"/>
          <w:sz w:val="36"/>
          <w:szCs w:val="36"/>
          <w:lang w:eastAsia="zh-CN"/>
        </w:rPr>
        <w:t>2026年</w:t>
      </w:r>
      <w:r>
        <w:rPr>
          <w:rFonts w:hint="eastAsia" w:ascii="宋体" w:hAnsi="宋体" w:eastAsia="宋体" w:cs="宋体"/>
          <w:b/>
          <w:snapToGrid/>
          <w:spacing w:val="-5"/>
          <w:sz w:val="36"/>
          <w:szCs w:val="36"/>
          <w:lang w:val="en-US" w:eastAsia="zh-CN"/>
        </w:rPr>
        <w:t>6</w:t>
      </w:r>
      <w:r>
        <w:rPr>
          <w:rFonts w:hint="eastAsia" w:ascii="宋体" w:hAnsi="宋体" w:eastAsia="宋体" w:cs="宋体"/>
          <w:b/>
          <w:snapToGrid/>
          <w:spacing w:val="-5"/>
          <w:sz w:val="36"/>
          <w:szCs w:val="36"/>
          <w:lang w:eastAsia="zh-CN"/>
        </w:rPr>
        <w:t>月</w:t>
      </w:r>
    </w:p>
    <w:p w14:paraId="16566BE3">
      <w:pPr>
        <w:spacing w:line="220" w:lineRule="auto"/>
        <w:rPr>
          <w:rFonts w:hint="eastAsia" w:ascii="宋体" w:hAnsi="宋体" w:eastAsia="宋体" w:cs="宋体"/>
          <w:sz w:val="36"/>
          <w:szCs w:val="36"/>
          <w:lang w:eastAsia="zh-CN"/>
        </w:rPr>
        <w:sectPr>
          <w:footerReference r:id="rId4" w:type="default"/>
          <w:headerReference r:id="rId3" w:type="even"/>
          <w:footerReference r:id="rId5" w:type="even"/>
          <w:pgSz w:w="11909" w:h="16839"/>
          <w:pgMar w:top="1431" w:right="1786" w:bottom="1545" w:left="1786" w:header="0" w:footer="1338" w:gutter="0"/>
          <w:pgNumType w:start="1"/>
          <w:cols w:space="720" w:num="1"/>
          <w:titlePg/>
          <w:docGrid w:type="lines" w:linePitch="312" w:charSpace="0"/>
        </w:sectPr>
      </w:pPr>
    </w:p>
    <w:p w14:paraId="0C75A495">
      <w:pPr>
        <w:widowControl w:val="0"/>
        <w:kinsoku/>
        <w:autoSpaceDE/>
        <w:autoSpaceDN/>
        <w:adjustRightInd/>
        <w:snapToGrid/>
        <w:spacing w:before="71" w:line="222" w:lineRule="auto"/>
        <w:ind w:left="3715"/>
        <w:jc w:val="both"/>
        <w:textAlignment w:val="auto"/>
        <w:rPr>
          <w:rFonts w:hint="eastAsia" w:ascii="宋体" w:hAnsi="宋体" w:eastAsia="宋体" w:cs="宋体"/>
          <w:b/>
          <w:snapToGrid/>
          <w:spacing w:val="-46"/>
          <w:sz w:val="36"/>
          <w:szCs w:val="36"/>
          <w:lang w:eastAsia="zh-CN"/>
        </w:rPr>
      </w:pPr>
    </w:p>
    <w:p w14:paraId="183795B0">
      <w:pPr>
        <w:widowControl w:val="0"/>
        <w:kinsoku/>
        <w:autoSpaceDE/>
        <w:autoSpaceDN/>
        <w:adjustRightInd/>
        <w:snapToGrid/>
        <w:spacing w:before="71" w:line="222" w:lineRule="auto"/>
        <w:ind w:left="3715"/>
        <w:jc w:val="both"/>
        <w:textAlignment w:val="auto"/>
        <w:rPr>
          <w:rFonts w:hint="eastAsia" w:ascii="宋体" w:hAnsi="宋体" w:eastAsia="宋体" w:cs="宋体"/>
          <w:snapToGrid/>
          <w:sz w:val="36"/>
          <w:szCs w:val="36"/>
          <w:lang w:eastAsia="zh-CN"/>
        </w:rPr>
      </w:pPr>
      <w:r>
        <w:rPr>
          <w:rFonts w:hint="eastAsia" w:ascii="宋体" w:hAnsi="宋体" w:eastAsia="宋体" w:cs="宋体"/>
          <w:b/>
          <w:snapToGrid/>
          <w:spacing w:val="-46"/>
          <w:sz w:val="36"/>
          <w:szCs w:val="36"/>
          <w:lang w:eastAsia="zh-CN"/>
        </w:rPr>
        <w:t>目录</w:t>
      </w:r>
    </w:p>
    <w:p w14:paraId="27764533">
      <w:pPr>
        <w:widowControl w:val="0"/>
        <w:tabs>
          <w:tab w:val="right" w:leader="dot" w:pos="8870"/>
        </w:tabs>
        <w:kinsoku/>
        <w:autoSpaceDE/>
        <w:autoSpaceDN/>
        <w:adjustRightInd/>
        <w:snapToGrid/>
        <w:spacing w:before="258" w:line="726" w:lineRule="exact"/>
        <w:jc w:val="both"/>
        <w:textAlignment w:val="auto"/>
        <w:rPr>
          <w:rFonts w:hint="eastAsia" w:ascii="宋体" w:hAnsi="宋体" w:eastAsia="宋体" w:cs="宋体"/>
          <w:b/>
          <w:bCs/>
          <w:snapToGrid/>
          <w:sz w:val="28"/>
          <w:szCs w:val="28"/>
          <w:lang w:eastAsia="zh-CN"/>
        </w:rPr>
      </w:pPr>
      <w:r>
        <w:rPr>
          <w:rFonts w:hint="eastAsia" w:ascii="宋体" w:hAnsi="宋体" w:eastAsia="宋体" w:cs="宋体"/>
          <w:b/>
          <w:bCs/>
          <w:snapToGrid/>
          <w:spacing w:val="-2"/>
          <w:position w:val="12"/>
          <w:sz w:val="28"/>
          <w:szCs w:val="28"/>
          <w:lang w:eastAsia="zh-CN"/>
        </w:rPr>
        <w:t>第一章招标公告</w:t>
      </w:r>
      <w:r>
        <w:fldChar w:fldCharType="begin"/>
      </w:r>
      <w:r>
        <w:rPr>
          <w:lang w:eastAsia="zh-CN"/>
        </w:rPr>
        <w:instrText xml:space="preserve">HYPERLINK \l "bookmark1"</w:instrText>
      </w:r>
      <w:r>
        <w:fldChar w:fldCharType="separate"/>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1</w:t>
      </w:r>
      <w:r>
        <w:fldChar w:fldCharType="end"/>
      </w:r>
    </w:p>
    <w:p w14:paraId="7F497B35">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b/>
          <w:bCs/>
          <w:snapToGrid/>
          <w:spacing w:val="-2"/>
          <w:position w:val="12"/>
          <w:sz w:val="28"/>
          <w:szCs w:val="28"/>
          <w:lang w:eastAsia="zh-CN"/>
        </w:rPr>
        <w:t>第二章投标须知</w:t>
      </w:r>
      <w:r>
        <w:fldChar w:fldCharType="begin"/>
      </w:r>
      <w:r>
        <w:rPr>
          <w:lang w:eastAsia="zh-CN"/>
        </w:rPr>
        <w:instrText xml:space="preserve">HYPERLINK \l "bookmark1"</w:instrText>
      </w:r>
      <w:r>
        <w:fldChar w:fldCharType="separate"/>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6</w:t>
      </w:r>
      <w:r>
        <w:fldChar w:fldCharType="end"/>
      </w:r>
    </w:p>
    <w:p w14:paraId="41089D9C">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（一）前附表</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6</w:t>
      </w:r>
      <w:r>
        <w:fldChar w:fldCharType="end"/>
      </w:r>
    </w:p>
    <w:p w14:paraId="02933F2B">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（二）总则</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2</w:t>
      </w:r>
      <w:r>
        <w:rPr>
          <w:rFonts w:hint="eastAsia" w:ascii="宋体" w:hAnsi="宋体" w:eastAsia="宋体" w:cs="宋体"/>
          <w:snapToGrid/>
          <w:position w:val="12"/>
          <w:sz w:val="28"/>
          <w:szCs w:val="28"/>
          <w:lang w:val="en-US" w:eastAsia="zh-CN"/>
        </w:rPr>
        <w:t>4</w:t>
      </w:r>
      <w:r>
        <w:fldChar w:fldCharType="end"/>
      </w:r>
    </w:p>
    <w:p w14:paraId="65EB11C3">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（三）招标文件</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2</w:t>
      </w:r>
      <w:r>
        <w:fldChar w:fldCharType="end"/>
      </w:r>
      <w:r>
        <w:rPr>
          <w:rFonts w:hint="eastAsia" w:ascii="宋体" w:hAnsi="宋体" w:eastAsia="宋体" w:cs="宋体"/>
          <w:snapToGrid/>
          <w:position w:val="12"/>
          <w:sz w:val="28"/>
          <w:szCs w:val="28"/>
          <w:lang w:eastAsia="zh-CN"/>
        </w:rPr>
        <w:t>6</w:t>
      </w:r>
    </w:p>
    <w:p w14:paraId="06154814">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（四）投标文件的编制</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2</w:t>
      </w:r>
      <w:r>
        <w:fldChar w:fldCharType="end"/>
      </w:r>
      <w:r>
        <w:rPr>
          <w:rFonts w:hint="eastAsia" w:ascii="宋体" w:hAnsi="宋体" w:eastAsia="宋体" w:cs="宋体"/>
          <w:snapToGrid/>
          <w:position w:val="12"/>
          <w:sz w:val="28"/>
          <w:szCs w:val="28"/>
          <w:lang w:val="en-US" w:eastAsia="zh-CN"/>
        </w:rPr>
        <w:t>7</w:t>
      </w:r>
    </w:p>
    <w:p w14:paraId="797AD066">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（五）投标文件的提交</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3</w:t>
      </w:r>
      <w:r>
        <w:fldChar w:fldCharType="end"/>
      </w:r>
      <w:r>
        <w:rPr>
          <w:rFonts w:hint="eastAsia" w:ascii="宋体" w:hAnsi="宋体" w:eastAsia="宋体" w:cs="宋体"/>
          <w:snapToGrid/>
          <w:position w:val="12"/>
          <w:sz w:val="28"/>
          <w:szCs w:val="28"/>
          <w:lang w:val="en-US" w:eastAsia="zh-CN"/>
        </w:rPr>
        <w:t>3</w:t>
      </w:r>
    </w:p>
    <w:p w14:paraId="7799CE8A">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（六）开标</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3</w:t>
      </w:r>
      <w:r>
        <w:fldChar w:fldCharType="end"/>
      </w:r>
      <w:r>
        <w:rPr>
          <w:rFonts w:hint="eastAsia" w:ascii="宋体" w:hAnsi="宋体" w:eastAsia="宋体" w:cs="宋体"/>
          <w:snapToGrid/>
          <w:position w:val="12"/>
          <w:sz w:val="28"/>
          <w:szCs w:val="28"/>
          <w:lang w:eastAsia="zh-CN"/>
        </w:rPr>
        <w:t>4</w:t>
      </w:r>
    </w:p>
    <w:p w14:paraId="62957D24">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（七）评标、定标</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3</w:t>
      </w:r>
      <w:r>
        <w:fldChar w:fldCharType="end"/>
      </w:r>
      <w:r>
        <w:rPr>
          <w:rFonts w:hint="eastAsia" w:ascii="宋体" w:hAnsi="宋体" w:eastAsia="宋体" w:cs="宋体"/>
          <w:snapToGrid/>
          <w:position w:val="12"/>
          <w:sz w:val="28"/>
          <w:szCs w:val="28"/>
          <w:lang w:val="en-US" w:eastAsia="zh-CN"/>
        </w:rPr>
        <w:t>4</w:t>
      </w:r>
    </w:p>
    <w:p w14:paraId="1BEEB568">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（八）综合评分法商务标（70分）分值计算方法</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4</w:t>
      </w:r>
      <w:r>
        <w:fldChar w:fldCharType="end"/>
      </w:r>
      <w:r>
        <w:rPr>
          <w:rFonts w:hint="eastAsia" w:ascii="宋体" w:hAnsi="宋体" w:eastAsia="宋体" w:cs="宋体"/>
          <w:snapToGrid/>
          <w:position w:val="12"/>
          <w:sz w:val="28"/>
          <w:szCs w:val="28"/>
          <w:lang w:val="en-US" w:eastAsia="zh-CN"/>
        </w:rPr>
        <w:t>0</w:t>
      </w:r>
    </w:p>
    <w:p w14:paraId="2FB21CC4">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（九）综合评分法技术标（</w:t>
      </w:r>
      <w:r>
        <w:rPr>
          <w:rFonts w:hint="eastAsia" w:ascii="宋体" w:hAnsi="宋体" w:eastAsia="宋体" w:cs="宋体"/>
          <w:snapToGrid/>
          <w:position w:val="12"/>
          <w:sz w:val="28"/>
          <w:szCs w:val="28"/>
          <w:lang w:val="en-US" w:eastAsia="zh-CN"/>
        </w:rPr>
        <w:t>28</w:t>
      </w:r>
      <w:r>
        <w:rPr>
          <w:rFonts w:hint="eastAsia" w:ascii="宋体" w:hAnsi="宋体" w:eastAsia="宋体" w:cs="宋体"/>
          <w:snapToGrid/>
          <w:position w:val="12"/>
          <w:sz w:val="28"/>
          <w:szCs w:val="28"/>
          <w:lang w:eastAsia="zh-CN"/>
        </w:rPr>
        <w:t>分）分值计分方法</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4</w:t>
      </w:r>
      <w:r>
        <w:fldChar w:fldCharType="end"/>
      </w:r>
      <w:r>
        <w:rPr>
          <w:rFonts w:hint="eastAsia" w:ascii="宋体" w:hAnsi="宋体" w:eastAsia="宋体" w:cs="宋体"/>
          <w:snapToGrid/>
          <w:position w:val="12"/>
          <w:sz w:val="28"/>
          <w:szCs w:val="28"/>
          <w:lang w:val="en-US" w:eastAsia="zh-CN"/>
        </w:rPr>
        <w:t>1</w:t>
      </w:r>
    </w:p>
    <w:p w14:paraId="5F0657B4">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（十）评标结果</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5</w:t>
      </w:r>
      <w:r>
        <w:fldChar w:fldCharType="end"/>
      </w:r>
      <w:r>
        <w:rPr>
          <w:rFonts w:hint="eastAsia" w:ascii="宋体" w:hAnsi="宋体" w:eastAsia="宋体" w:cs="宋体"/>
          <w:snapToGrid/>
          <w:position w:val="12"/>
          <w:sz w:val="28"/>
          <w:szCs w:val="28"/>
          <w:lang w:val="en-US" w:eastAsia="zh-CN"/>
        </w:rPr>
        <w:t>0</w:t>
      </w:r>
    </w:p>
    <w:p w14:paraId="115F7FB1">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ascii="宋体" w:hAnsi="宋体" w:eastAsia="宋体" w:cs="宋体"/>
          <w:snapToGrid/>
          <w:position w:val="12"/>
          <w:sz w:val="28"/>
          <w:szCs w:val="28"/>
          <w:lang w:eastAsia="zh-CN"/>
        </w:rPr>
        <w:t>（十一）合同的授予</w:t>
      </w:r>
      <w:r>
        <w:fldChar w:fldCharType="begin"/>
      </w:r>
      <w:r>
        <w:rPr>
          <w:lang w:eastAsia="zh-CN"/>
        </w:rP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5</w:t>
      </w:r>
      <w:r>
        <w:fldChar w:fldCharType="end"/>
      </w:r>
      <w:r>
        <w:rPr>
          <w:rFonts w:hint="eastAsia" w:ascii="宋体" w:hAnsi="宋体" w:eastAsia="宋体" w:cs="宋体"/>
          <w:snapToGrid/>
          <w:position w:val="12"/>
          <w:sz w:val="28"/>
          <w:szCs w:val="28"/>
          <w:lang w:val="en-US" w:eastAsia="zh-CN"/>
        </w:rPr>
        <w:t>1</w:t>
      </w:r>
    </w:p>
    <w:p w14:paraId="17B260FA">
      <w:pPr>
        <w:widowControl w:val="0"/>
        <w:tabs>
          <w:tab w:val="right" w:leader="dot" w:pos="8870"/>
        </w:tabs>
        <w:kinsoku/>
        <w:autoSpaceDE/>
        <w:autoSpaceDN/>
        <w:adjustRightInd/>
        <w:snapToGrid/>
        <w:spacing w:line="726" w:lineRule="exact"/>
        <w:jc w:val="both"/>
        <w:textAlignment w:val="auto"/>
        <w:rPr>
          <w:rFonts w:ascii="Times New Roman" w:hAnsi="Times New Roman" w:eastAsia="Times New Roman" w:cs="Times New Roman"/>
          <w:b/>
          <w:bCs/>
          <w:snapToGrid/>
          <w:sz w:val="28"/>
          <w:szCs w:val="28"/>
          <w:lang w:eastAsia="zh-CN"/>
        </w:rPr>
      </w:pPr>
      <w:r>
        <w:rPr>
          <w:rFonts w:hint="eastAsia" w:ascii="宋体" w:hAnsi="宋体" w:eastAsia="宋体" w:cs="宋体"/>
          <w:b/>
          <w:bCs/>
          <w:snapToGrid/>
          <w:spacing w:val="-1"/>
          <w:position w:val="12"/>
          <w:sz w:val="28"/>
          <w:szCs w:val="28"/>
          <w:lang w:eastAsia="zh-CN"/>
        </w:rPr>
        <w:t>第三章合同条款</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5</w:t>
      </w:r>
      <w:r>
        <w:rPr>
          <w:rFonts w:hint="eastAsia" w:ascii="宋体" w:hAnsi="宋体" w:eastAsia="宋体" w:cs="宋体"/>
          <w:b/>
          <w:bCs/>
          <w:snapToGrid/>
          <w:position w:val="12"/>
          <w:sz w:val="28"/>
          <w:szCs w:val="28"/>
          <w:lang w:val="en-US" w:eastAsia="zh-CN"/>
        </w:rPr>
        <w:t>3</w:t>
      </w:r>
    </w:p>
    <w:p w14:paraId="313F08B9">
      <w:pPr>
        <w:widowControl w:val="0"/>
        <w:tabs>
          <w:tab w:val="right" w:leader="dot" w:pos="8870"/>
        </w:tabs>
        <w:kinsoku/>
        <w:autoSpaceDE/>
        <w:autoSpaceDN/>
        <w:adjustRightInd/>
        <w:snapToGrid/>
        <w:spacing w:line="726" w:lineRule="exact"/>
        <w:jc w:val="both"/>
        <w:textAlignment w:val="auto"/>
        <w:rPr>
          <w:rFonts w:hint="eastAsia" w:ascii="宋体" w:hAnsi="宋体" w:eastAsia="宋体" w:cs="宋体"/>
          <w:b/>
          <w:bCs/>
          <w:snapToGrid/>
          <w:position w:val="12"/>
          <w:sz w:val="28"/>
          <w:szCs w:val="28"/>
          <w:lang w:eastAsia="zh-CN"/>
        </w:rPr>
      </w:pPr>
      <w:r>
        <w:rPr>
          <w:rFonts w:hint="eastAsia" w:ascii="宋体" w:hAnsi="宋体" w:eastAsia="宋体" w:cs="宋体"/>
          <w:b/>
          <w:bCs/>
          <w:snapToGrid/>
          <w:spacing w:val="-1"/>
          <w:position w:val="12"/>
          <w:sz w:val="28"/>
          <w:szCs w:val="28"/>
          <w:lang w:eastAsia="zh-CN"/>
        </w:rPr>
        <w:t>第四章投标文件格式</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9</w:t>
      </w:r>
      <w:r>
        <w:rPr>
          <w:rFonts w:hint="eastAsia" w:ascii="宋体" w:hAnsi="宋体" w:eastAsia="宋体" w:cs="宋体"/>
          <w:b/>
          <w:bCs/>
          <w:snapToGrid/>
          <w:position w:val="12"/>
          <w:sz w:val="28"/>
          <w:szCs w:val="28"/>
          <w:lang w:val="en-US" w:eastAsia="zh-CN"/>
        </w:rPr>
        <w:t>4</w:t>
      </w:r>
    </w:p>
    <w:p w14:paraId="5A3E79FF">
      <w:pPr>
        <w:widowControl w:val="0"/>
        <w:numPr>
          <w:ilvl w:val="0"/>
          <w:numId w:val="1"/>
        </w:numPr>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商务标</w:t>
      </w:r>
      <w:r>
        <w:fldChar w:fldCharType="begin"/>
      </w:r>
      <w:r>
        <w:instrText xml:space="preserve">HYPERLINK \l "bookmark1"</w:instrText>
      </w:r>
      <w: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t>9</w:t>
      </w:r>
      <w:r>
        <w:fldChar w:fldCharType="end"/>
      </w:r>
      <w:r>
        <w:rPr>
          <w:rFonts w:hint="eastAsia" w:ascii="宋体" w:hAnsi="宋体" w:eastAsia="宋体" w:cs="宋体"/>
          <w:snapToGrid/>
          <w:position w:val="12"/>
          <w:sz w:val="28"/>
          <w:szCs w:val="28"/>
          <w:lang w:val="en-US" w:eastAsia="zh-CN"/>
        </w:rPr>
        <w:t>4</w:t>
      </w:r>
    </w:p>
    <w:p w14:paraId="29DB0ED8">
      <w:pPr>
        <w:widowControl w:val="0"/>
        <w:numPr>
          <w:ilvl w:val="0"/>
          <w:numId w:val="1"/>
        </w:numPr>
        <w:tabs>
          <w:tab w:val="right" w:leader="dot" w:pos="8870"/>
        </w:tabs>
        <w:kinsoku/>
        <w:autoSpaceDE/>
        <w:autoSpaceDN/>
        <w:adjustRightInd/>
        <w:snapToGrid/>
        <w:spacing w:line="726" w:lineRule="exact"/>
        <w:jc w:val="both"/>
        <w:textAlignment w:val="auto"/>
        <w:rPr>
          <w:rFonts w:hint="eastAsia" w:ascii="宋体" w:hAnsi="宋体" w:eastAsia="宋体" w:cs="宋体"/>
          <w:snapToGrid/>
          <w:position w:val="12"/>
          <w:sz w:val="28"/>
          <w:szCs w:val="28"/>
          <w:lang w:eastAsia="zh-CN"/>
        </w:rPr>
      </w:pPr>
      <w:r>
        <w:rPr>
          <w:rFonts w:hint="eastAsia" w:ascii="宋体" w:hAnsi="宋体" w:eastAsia="宋体" w:cs="宋体"/>
          <w:snapToGrid/>
          <w:position w:val="12"/>
          <w:sz w:val="28"/>
          <w:szCs w:val="28"/>
          <w:lang w:eastAsia="zh-CN"/>
        </w:rPr>
        <w:t>技术标</w:t>
      </w:r>
      <w:r>
        <w:rPr>
          <w:rFonts w:hint="eastAsia" w:ascii="宋体" w:hAnsi="宋体" w:eastAsia="宋体" w:cs="宋体"/>
          <w:snapToGrid/>
          <w:position w:val="12"/>
          <w:sz w:val="28"/>
          <w:szCs w:val="28"/>
          <w:lang w:eastAsia="zh-CN"/>
        </w:rPr>
        <w:fldChar w:fldCharType="begin"/>
      </w:r>
      <w:r>
        <w:rPr>
          <w:rFonts w:hint="eastAsia" w:ascii="宋体" w:hAnsi="宋体" w:eastAsia="宋体" w:cs="宋体"/>
          <w:snapToGrid/>
          <w:position w:val="12"/>
          <w:sz w:val="28"/>
          <w:szCs w:val="28"/>
          <w:lang w:eastAsia="zh-CN"/>
        </w:rPr>
        <w:instrText xml:space="preserve">HYPERLINK \l "bookmark1"</w:instrText>
      </w:r>
      <w:r>
        <w:rPr>
          <w:rFonts w:hint="eastAsia" w:ascii="宋体" w:hAnsi="宋体" w:eastAsia="宋体" w:cs="宋体"/>
          <w:snapToGrid/>
          <w:position w:val="12"/>
          <w:sz w:val="28"/>
          <w:szCs w:val="28"/>
          <w:lang w:eastAsia="zh-CN"/>
        </w:rPr>
        <w:fldChar w:fldCharType="separate"/>
      </w:r>
      <w:r>
        <w:rPr>
          <w:rFonts w:hint="eastAsia" w:ascii="宋体" w:hAnsi="宋体" w:eastAsia="宋体" w:cs="宋体"/>
          <w:snapToGrid/>
          <w:position w:val="12"/>
          <w:sz w:val="28"/>
          <w:szCs w:val="28"/>
          <w:lang w:eastAsia="zh-CN"/>
        </w:rPr>
        <w:tab/>
      </w:r>
      <w:r>
        <w:rPr>
          <w:rFonts w:hint="eastAsia" w:ascii="宋体" w:hAnsi="宋体" w:eastAsia="宋体" w:cs="宋体"/>
          <w:snapToGrid/>
          <w:position w:val="12"/>
          <w:sz w:val="28"/>
          <w:szCs w:val="28"/>
          <w:lang w:eastAsia="zh-CN"/>
        </w:rPr>
        <w:fldChar w:fldCharType="end"/>
      </w:r>
      <w:r>
        <w:rPr>
          <w:rFonts w:hint="eastAsia" w:ascii="宋体" w:hAnsi="宋体" w:eastAsia="宋体" w:cs="宋体"/>
          <w:snapToGrid/>
          <w:position w:val="12"/>
          <w:sz w:val="28"/>
          <w:szCs w:val="28"/>
          <w:lang w:val="en-US" w:eastAsia="zh-CN"/>
        </w:rPr>
        <w:t>99</w:t>
      </w:r>
    </w:p>
    <w:p w14:paraId="53D53AD3">
      <w:pPr>
        <w:widowControl w:val="0"/>
        <w:tabs>
          <w:tab w:val="right" w:leader="dot" w:pos="8870"/>
        </w:tabs>
        <w:kinsoku/>
        <w:autoSpaceDE/>
        <w:autoSpaceDN/>
        <w:adjustRightInd/>
        <w:snapToGrid/>
        <w:spacing w:line="726" w:lineRule="exact"/>
        <w:jc w:val="both"/>
        <w:textAlignment w:val="auto"/>
        <w:rPr>
          <w:rFonts w:ascii="Times New Roman" w:hAnsi="Times New Roman" w:eastAsia="Times New Roman" w:cs="Times New Roman"/>
          <w:b/>
          <w:bCs/>
          <w:snapToGrid/>
          <w:spacing w:val="24"/>
          <w:position w:val="12"/>
          <w:sz w:val="28"/>
          <w:szCs w:val="28"/>
          <w:lang w:eastAsia="zh-CN"/>
        </w:rPr>
      </w:pPr>
      <w:r>
        <w:rPr>
          <w:rFonts w:hint="eastAsia" w:ascii="宋体" w:hAnsi="宋体" w:eastAsia="宋体" w:cs="宋体"/>
          <w:b/>
          <w:bCs/>
          <w:snapToGrid/>
          <w:spacing w:val="-1"/>
          <w:position w:val="12"/>
          <w:sz w:val="28"/>
          <w:szCs w:val="28"/>
          <w:lang w:eastAsia="zh-CN"/>
        </w:rPr>
        <w:t>第五章工程技术经济要求</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11</w:t>
      </w:r>
      <w:r>
        <w:rPr>
          <w:rFonts w:hint="eastAsia" w:ascii="宋体" w:hAnsi="宋体" w:eastAsia="宋体" w:cs="宋体"/>
          <w:b/>
          <w:bCs/>
          <w:snapToGrid/>
          <w:position w:val="12"/>
          <w:sz w:val="28"/>
          <w:szCs w:val="28"/>
          <w:lang w:val="en-US" w:eastAsia="zh-CN"/>
        </w:rPr>
        <w:t>8</w:t>
      </w:r>
    </w:p>
    <w:p w14:paraId="363E9FFF">
      <w:pPr>
        <w:widowControl w:val="0"/>
        <w:tabs>
          <w:tab w:val="right" w:leader="dot" w:pos="8870"/>
        </w:tabs>
        <w:kinsoku/>
        <w:autoSpaceDE/>
        <w:autoSpaceDN/>
        <w:adjustRightInd/>
        <w:snapToGrid/>
        <w:spacing w:line="726" w:lineRule="exact"/>
        <w:jc w:val="both"/>
        <w:textAlignment w:val="auto"/>
        <w:rPr>
          <w:rFonts w:ascii="Times New Roman" w:hAnsi="Times New Roman" w:eastAsia="Times New Roman" w:cs="Times New Roman"/>
          <w:b/>
          <w:bCs/>
          <w:snapToGrid/>
          <w:spacing w:val="24"/>
          <w:position w:val="12"/>
          <w:sz w:val="28"/>
          <w:szCs w:val="28"/>
          <w:lang w:eastAsia="zh-CN"/>
        </w:rPr>
      </w:pPr>
      <w:r>
        <w:rPr>
          <w:rFonts w:hint="eastAsia" w:ascii="宋体" w:hAnsi="宋体" w:eastAsia="宋体" w:cs="宋体"/>
          <w:b/>
          <w:bCs/>
          <w:snapToGrid/>
          <w:spacing w:val="-1"/>
          <w:position w:val="12"/>
          <w:sz w:val="28"/>
          <w:szCs w:val="28"/>
          <w:lang w:eastAsia="zh-CN"/>
        </w:rPr>
        <w:t>第六章施工图设计文件</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11</w:t>
      </w:r>
      <w:r>
        <w:rPr>
          <w:rFonts w:hint="eastAsia" w:ascii="宋体" w:hAnsi="宋体" w:eastAsia="宋体" w:cs="宋体"/>
          <w:b/>
          <w:bCs/>
          <w:snapToGrid/>
          <w:position w:val="12"/>
          <w:sz w:val="28"/>
          <w:szCs w:val="28"/>
          <w:lang w:val="en-US" w:eastAsia="zh-CN"/>
        </w:rPr>
        <w:t>8</w:t>
      </w:r>
    </w:p>
    <w:p w14:paraId="1B8CD055">
      <w:pPr>
        <w:widowControl w:val="0"/>
        <w:tabs>
          <w:tab w:val="right" w:leader="dot" w:pos="8870"/>
        </w:tabs>
        <w:kinsoku/>
        <w:autoSpaceDE/>
        <w:autoSpaceDN/>
        <w:adjustRightInd/>
        <w:snapToGrid/>
        <w:spacing w:line="726" w:lineRule="exact"/>
        <w:jc w:val="both"/>
        <w:textAlignment w:val="auto"/>
        <w:rPr>
          <w:rFonts w:ascii="Times New Roman" w:hAnsi="Times New Roman" w:eastAsia="Times New Roman" w:cs="Times New Roman"/>
          <w:b/>
          <w:bCs/>
          <w:snapToGrid/>
          <w:spacing w:val="24"/>
          <w:position w:val="12"/>
          <w:sz w:val="28"/>
          <w:szCs w:val="28"/>
          <w:lang w:eastAsia="zh-CN"/>
        </w:rPr>
      </w:pPr>
      <w:r>
        <w:rPr>
          <w:rFonts w:hint="eastAsia" w:ascii="宋体" w:hAnsi="宋体" w:eastAsia="宋体" w:cs="宋体"/>
          <w:b/>
          <w:bCs/>
          <w:snapToGrid/>
          <w:spacing w:val="-1"/>
          <w:position w:val="12"/>
          <w:sz w:val="28"/>
          <w:szCs w:val="28"/>
          <w:lang w:eastAsia="zh-CN"/>
        </w:rPr>
        <w:t>第七章其他资料</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11</w:t>
      </w:r>
      <w:r>
        <w:rPr>
          <w:rFonts w:hint="eastAsia" w:ascii="宋体" w:hAnsi="宋体" w:eastAsia="宋体" w:cs="宋体"/>
          <w:b/>
          <w:bCs/>
          <w:snapToGrid/>
          <w:position w:val="12"/>
          <w:sz w:val="28"/>
          <w:szCs w:val="28"/>
          <w:lang w:val="en-US" w:eastAsia="zh-CN"/>
        </w:rPr>
        <w:t>8</w:t>
      </w:r>
    </w:p>
    <w:p w14:paraId="0421066E">
      <w:pPr>
        <w:widowControl w:val="0"/>
        <w:tabs>
          <w:tab w:val="right" w:leader="dot" w:pos="8870"/>
        </w:tabs>
        <w:kinsoku/>
        <w:autoSpaceDE/>
        <w:autoSpaceDN/>
        <w:adjustRightInd/>
        <w:snapToGrid/>
        <w:spacing w:line="726" w:lineRule="exact"/>
        <w:jc w:val="both"/>
        <w:textAlignment w:val="auto"/>
        <w:rPr>
          <w:rFonts w:ascii="Times New Roman" w:hAnsi="Times New Roman" w:eastAsia="Times New Roman" w:cs="Times New Roman"/>
          <w:b/>
          <w:bCs/>
          <w:snapToGrid/>
          <w:sz w:val="28"/>
          <w:szCs w:val="28"/>
          <w:lang w:eastAsia="zh-CN"/>
        </w:rPr>
      </w:pPr>
      <w:r>
        <w:rPr>
          <w:rFonts w:hint="eastAsia" w:ascii="宋体" w:hAnsi="宋体" w:eastAsia="宋体" w:cs="宋体"/>
          <w:b/>
          <w:bCs/>
          <w:snapToGrid/>
          <w:spacing w:val="-1"/>
          <w:position w:val="12"/>
          <w:sz w:val="28"/>
          <w:szCs w:val="28"/>
          <w:lang w:eastAsia="zh-CN"/>
        </w:rPr>
        <w:t>第八章不见面开标注意事项</w:t>
      </w:r>
      <w:r>
        <w:rPr>
          <w:rFonts w:hint="eastAsia" w:ascii="宋体" w:hAnsi="宋体" w:eastAsia="宋体" w:cs="宋体"/>
          <w:b/>
          <w:bCs/>
          <w:snapToGrid/>
          <w:position w:val="12"/>
          <w:sz w:val="28"/>
          <w:szCs w:val="28"/>
          <w:lang w:eastAsia="zh-CN"/>
        </w:rPr>
        <w:tab/>
      </w:r>
      <w:r>
        <w:rPr>
          <w:rFonts w:hint="eastAsia" w:ascii="宋体" w:hAnsi="宋体" w:eastAsia="宋体" w:cs="宋体"/>
          <w:b/>
          <w:bCs/>
          <w:snapToGrid/>
          <w:position w:val="12"/>
          <w:sz w:val="28"/>
          <w:szCs w:val="28"/>
          <w:lang w:eastAsia="zh-CN"/>
        </w:rPr>
        <w:t>11</w:t>
      </w:r>
      <w:r>
        <w:rPr>
          <w:rFonts w:hint="eastAsia" w:ascii="宋体" w:hAnsi="宋体" w:eastAsia="宋体" w:cs="宋体"/>
          <w:b/>
          <w:bCs/>
          <w:snapToGrid/>
          <w:position w:val="12"/>
          <w:sz w:val="28"/>
          <w:szCs w:val="28"/>
          <w:lang w:val="en-US" w:eastAsia="zh-CN"/>
        </w:rPr>
        <w:t>8</w:t>
      </w:r>
    </w:p>
    <w:p w14:paraId="02004A42">
      <w:pPr>
        <w:spacing w:line="726" w:lineRule="exact"/>
        <w:rPr>
          <w:rFonts w:ascii="Times New Roman" w:hAnsi="Times New Roman" w:eastAsia="Times New Roman" w:cs="Times New Roman"/>
          <w:sz w:val="28"/>
          <w:szCs w:val="28"/>
          <w:lang w:eastAsia="zh-CN"/>
        </w:rPr>
        <w:sectPr>
          <w:footerReference r:id="rId6" w:type="default"/>
          <w:pgSz w:w="11909" w:h="16839"/>
          <w:pgMar w:top="1169" w:right="1256" w:bottom="1545" w:left="1780" w:header="0" w:footer="1338" w:gutter="0"/>
          <w:pgNumType w:start="1"/>
          <w:cols w:space="720" w:num="1"/>
          <w:titlePg/>
          <w:docGrid w:type="lines" w:linePitch="312" w:charSpace="0"/>
        </w:sectPr>
      </w:pPr>
    </w:p>
    <w:p w14:paraId="602D8477">
      <w:pPr>
        <w:widowControl w:val="0"/>
        <w:kinsoku/>
        <w:autoSpaceDE/>
        <w:autoSpaceDN/>
        <w:adjustRightInd/>
        <w:snapToGrid/>
        <w:spacing w:before="72" w:line="218" w:lineRule="auto"/>
        <w:ind w:left="2836"/>
        <w:jc w:val="both"/>
        <w:textAlignment w:val="auto"/>
        <w:outlineLvl w:val="0"/>
        <w:rPr>
          <w:rFonts w:hint="eastAsia" w:ascii="宋体" w:hAnsi="宋体" w:eastAsia="宋体" w:cs="宋体"/>
          <w:snapToGrid/>
          <w:sz w:val="36"/>
          <w:szCs w:val="36"/>
          <w:lang w:eastAsia="zh-CN"/>
        </w:rPr>
      </w:pPr>
      <w:bookmarkStart w:id="3" w:name="bookmark1"/>
      <w:bookmarkEnd w:id="3"/>
      <w:r>
        <w:rPr>
          <w:rFonts w:hint="eastAsia" w:ascii="宋体" w:hAnsi="宋体" w:eastAsia="宋体" w:cs="宋体"/>
          <w:b/>
          <w:snapToGrid/>
          <w:spacing w:val="-4"/>
          <w:sz w:val="36"/>
          <w:szCs w:val="36"/>
          <w:lang w:eastAsia="zh-CN"/>
        </w:rPr>
        <w:t>第一章招标公告</w:t>
      </w:r>
    </w:p>
    <w:p w14:paraId="4D3FB5CE">
      <w:pPr>
        <w:widowControl w:val="0"/>
        <w:kinsoku/>
        <w:autoSpaceDE/>
        <w:autoSpaceDN/>
        <w:ind w:left="5"/>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1"/>
          <w:sz w:val="24"/>
          <w:szCs w:val="24"/>
          <w:lang w:eastAsia="zh-CN"/>
        </w:rPr>
        <w:t>一、招标编号：</w:t>
      </w:r>
    </w:p>
    <w:p w14:paraId="202E71E2">
      <w:pPr>
        <w:widowControl w:val="0"/>
        <w:kinsoku/>
        <w:autoSpaceDE/>
        <w:autoSpaceDN/>
        <w:ind w:left="5"/>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4"/>
          <w:sz w:val="24"/>
          <w:szCs w:val="24"/>
          <w:lang w:eastAsia="zh-CN"/>
        </w:rPr>
        <w:t>二、项目名称：</w:t>
      </w:r>
      <w:r>
        <w:rPr>
          <w:rFonts w:hint="eastAsia" w:ascii="宋体" w:hAnsi="宋体" w:eastAsia="宋体" w:cs="宋体"/>
          <w:snapToGrid/>
          <w:spacing w:val="-4"/>
          <w:sz w:val="24"/>
          <w:szCs w:val="24"/>
          <w:lang w:eastAsia="zh-CN"/>
        </w:rPr>
        <w:t>淮河流域霍邱段城东湖主要支流湿地净化工程（EPC）</w:t>
      </w:r>
    </w:p>
    <w:p w14:paraId="30D3C0F8">
      <w:pPr>
        <w:widowControl w:val="0"/>
        <w:kinsoku/>
        <w:autoSpaceDE/>
        <w:autoSpaceDN/>
        <w:ind w:left="1"/>
        <w:jc w:val="both"/>
        <w:textAlignment w:val="auto"/>
        <w:rPr>
          <w:rFonts w:hint="eastAsia" w:ascii="宋体" w:hAnsi="宋体" w:eastAsia="宋体" w:cs="宋体"/>
          <w:snapToGrid/>
          <w:color w:val="auto"/>
          <w:sz w:val="24"/>
          <w:szCs w:val="24"/>
          <w:highlight w:val="green"/>
          <w:lang w:eastAsia="zh-CN"/>
        </w:rPr>
      </w:pPr>
      <w:r>
        <w:rPr>
          <w:rFonts w:hint="eastAsia" w:ascii="宋体" w:hAnsi="宋体" w:eastAsia="宋体" w:cs="宋体"/>
          <w:b/>
          <w:snapToGrid/>
          <w:spacing w:val="-2"/>
          <w:sz w:val="24"/>
          <w:szCs w:val="24"/>
          <w:lang w:eastAsia="zh-CN"/>
        </w:rPr>
        <w:t>三、项目实施地点</w:t>
      </w:r>
      <w:r>
        <w:rPr>
          <w:rFonts w:hint="eastAsia" w:ascii="宋体" w:hAnsi="宋体" w:eastAsia="宋体" w:cs="宋体"/>
          <w:b/>
          <w:snapToGrid/>
          <w:color w:val="auto"/>
          <w:spacing w:val="-2"/>
          <w:sz w:val="24"/>
          <w:szCs w:val="24"/>
          <w:lang w:eastAsia="zh-CN"/>
        </w:rPr>
        <w:t>：</w:t>
      </w:r>
      <w:r>
        <w:rPr>
          <w:rFonts w:hint="eastAsia" w:ascii="宋体" w:hAnsi="宋体" w:eastAsia="宋体" w:cs="宋体"/>
          <w:snapToGrid/>
          <w:color w:val="auto"/>
          <w:spacing w:val="-4"/>
          <w:sz w:val="24"/>
          <w:szCs w:val="24"/>
          <w:lang w:eastAsia="zh-CN"/>
        </w:rPr>
        <w:t>霍邱县夏店镇、花园镇、孟集镇、潘集镇、三流乡、宋店镇境内</w:t>
      </w:r>
    </w:p>
    <w:p w14:paraId="469ECA14">
      <w:pPr>
        <w:widowControl w:val="0"/>
        <w:kinsoku/>
        <w:autoSpaceDE/>
        <w:autoSpaceDN/>
        <w:ind w:left="5"/>
        <w:jc w:val="both"/>
        <w:textAlignment w:val="auto"/>
        <w:rPr>
          <w:rFonts w:hint="eastAsia" w:ascii="宋体" w:hAnsi="宋体" w:eastAsia="宋体" w:cs="宋体"/>
          <w:snapToGrid/>
          <w:color w:val="auto"/>
          <w:spacing w:val="-4"/>
          <w:sz w:val="24"/>
          <w:szCs w:val="24"/>
          <w:lang w:eastAsia="zh-CN"/>
        </w:rPr>
      </w:pPr>
      <w:r>
        <w:rPr>
          <w:rFonts w:hint="eastAsia" w:ascii="宋体" w:hAnsi="宋体" w:eastAsia="宋体" w:cs="宋体"/>
          <w:b/>
          <w:snapToGrid/>
          <w:color w:val="auto"/>
          <w:spacing w:val="-4"/>
          <w:sz w:val="24"/>
          <w:szCs w:val="24"/>
          <w:lang w:eastAsia="zh-CN"/>
        </w:rPr>
        <w:t>四、项目实施主体（招标人</w:t>
      </w:r>
      <w:r>
        <w:rPr>
          <w:rFonts w:hint="eastAsia" w:ascii="宋体" w:hAnsi="宋体" w:eastAsia="宋体" w:cs="宋体"/>
          <w:b/>
          <w:snapToGrid/>
          <w:color w:val="auto"/>
          <w:spacing w:val="13"/>
          <w:sz w:val="24"/>
          <w:szCs w:val="24"/>
          <w:lang w:eastAsia="zh-CN"/>
        </w:rPr>
        <w:t>）：</w:t>
      </w:r>
      <w:r>
        <w:rPr>
          <w:rFonts w:hint="eastAsia" w:ascii="宋体" w:hAnsi="宋体" w:eastAsia="宋体" w:cs="宋体"/>
          <w:snapToGrid/>
          <w:color w:val="auto"/>
          <w:spacing w:val="-4"/>
          <w:sz w:val="24"/>
          <w:szCs w:val="24"/>
          <w:lang w:eastAsia="zh-CN"/>
        </w:rPr>
        <w:t>霍邱县东西湖水资源保护利用中心</w:t>
      </w:r>
    </w:p>
    <w:p w14:paraId="54BB2EE4">
      <w:pPr>
        <w:widowControl w:val="0"/>
        <w:kinsoku/>
        <w:autoSpaceDE/>
        <w:autoSpaceDN/>
        <w:ind w:left="3"/>
        <w:jc w:val="both"/>
        <w:textAlignment w:val="auto"/>
        <w:rPr>
          <w:rFonts w:hint="eastAsia" w:ascii="宋体" w:hAnsi="宋体" w:eastAsia="宋体" w:cs="宋体"/>
          <w:snapToGrid/>
          <w:color w:val="auto"/>
          <w:spacing w:val="-2"/>
          <w:sz w:val="24"/>
          <w:szCs w:val="24"/>
          <w:lang w:eastAsia="zh-CN"/>
        </w:rPr>
      </w:pPr>
      <w:r>
        <w:rPr>
          <w:rFonts w:hint="eastAsia" w:ascii="宋体" w:hAnsi="宋体" w:eastAsia="宋体" w:cs="宋体"/>
          <w:b/>
          <w:snapToGrid/>
          <w:color w:val="auto"/>
          <w:spacing w:val="-2"/>
          <w:sz w:val="24"/>
          <w:szCs w:val="24"/>
          <w:lang w:eastAsia="zh-CN"/>
        </w:rPr>
        <w:t>五、项目实施主体（招标人）地址：</w:t>
      </w:r>
      <w:r>
        <w:rPr>
          <w:rFonts w:hint="eastAsia" w:ascii="宋体" w:hAnsi="宋体" w:eastAsia="宋体" w:cs="宋体"/>
          <w:snapToGrid/>
          <w:color w:val="auto"/>
          <w:spacing w:val="-2"/>
          <w:sz w:val="24"/>
          <w:szCs w:val="24"/>
          <w:lang w:eastAsia="zh-CN"/>
        </w:rPr>
        <w:t>霍邱县司法局七楼</w:t>
      </w:r>
    </w:p>
    <w:p w14:paraId="2C02C190">
      <w:pPr>
        <w:widowControl w:val="0"/>
        <w:kinsoku/>
        <w:autoSpaceDE/>
        <w:autoSpaceDN/>
        <w:ind w:left="3"/>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3"/>
          <w:sz w:val="24"/>
          <w:szCs w:val="24"/>
          <w:lang w:eastAsia="zh-CN"/>
        </w:rPr>
        <w:t>六、项目类型</w:t>
      </w:r>
      <w:r>
        <w:rPr>
          <w:rFonts w:hint="eastAsia" w:ascii="宋体" w:hAnsi="宋体" w:eastAsia="宋体" w:cs="宋体"/>
          <w:snapToGrid/>
          <w:spacing w:val="-3"/>
          <w:sz w:val="24"/>
          <w:szCs w:val="24"/>
          <w:lang w:eastAsia="zh-CN"/>
        </w:rPr>
        <w:t>：工程类</w:t>
      </w:r>
    </w:p>
    <w:p w14:paraId="00C877E6">
      <w:pPr>
        <w:widowControl w:val="0"/>
        <w:kinsoku/>
        <w:autoSpaceDE/>
        <w:autoSpaceDN/>
        <w:jc w:val="both"/>
        <w:textAlignment w:val="auto"/>
        <w:rPr>
          <w:rFonts w:hint="eastAsia" w:ascii="宋体" w:hAnsi="宋体" w:eastAsia="宋体" w:cs="宋体"/>
          <w:snapToGrid/>
          <w:spacing w:val="-2"/>
          <w:sz w:val="24"/>
          <w:szCs w:val="24"/>
          <w:lang w:eastAsia="zh-CN"/>
        </w:rPr>
      </w:pPr>
      <w:r>
        <w:rPr>
          <w:rFonts w:hint="eastAsia" w:ascii="宋体" w:hAnsi="宋体" w:eastAsia="宋体" w:cs="宋体"/>
          <w:b/>
          <w:snapToGrid/>
          <w:spacing w:val="-2"/>
          <w:sz w:val="24"/>
          <w:szCs w:val="24"/>
          <w:lang w:eastAsia="zh-CN"/>
        </w:rPr>
        <w:t>七、招标方式：</w:t>
      </w:r>
      <w:r>
        <w:rPr>
          <w:rFonts w:hint="eastAsia" w:ascii="宋体" w:hAnsi="宋体" w:eastAsia="宋体" w:cs="宋体"/>
          <w:snapToGrid/>
          <w:spacing w:val="-2"/>
          <w:sz w:val="24"/>
          <w:szCs w:val="24"/>
          <w:lang w:eastAsia="zh-CN"/>
        </w:rPr>
        <w:t>公开招标</w:t>
      </w:r>
    </w:p>
    <w:p w14:paraId="25AC6A14">
      <w:pPr>
        <w:widowControl w:val="0"/>
        <w:kinsoku/>
        <w:autoSpaceDE/>
        <w:autoSpaceDN/>
        <w:ind w:left="3"/>
        <w:jc w:val="both"/>
        <w:textAlignment w:val="auto"/>
        <w:rPr>
          <w:rFonts w:hint="eastAsia" w:ascii="宋体" w:hAnsi="宋体" w:eastAsia="宋体" w:cs="宋体"/>
          <w:b/>
          <w:snapToGrid/>
          <w:color w:val="auto"/>
          <w:spacing w:val="-3"/>
          <w:sz w:val="24"/>
          <w:szCs w:val="24"/>
          <w:lang w:eastAsia="zh-CN"/>
        </w:rPr>
      </w:pPr>
      <w:r>
        <w:rPr>
          <w:rFonts w:hint="eastAsia" w:ascii="宋体" w:hAnsi="宋体" w:eastAsia="宋体" w:cs="宋体"/>
          <w:b/>
          <w:snapToGrid/>
          <w:spacing w:val="-3"/>
          <w:sz w:val="24"/>
          <w:szCs w:val="24"/>
          <w:lang w:eastAsia="zh-CN"/>
        </w:rPr>
        <w:t>八、项目概况、投资规模：</w:t>
      </w:r>
      <w:r>
        <w:rPr>
          <w:rFonts w:hint="eastAsia" w:ascii="宋体" w:hAnsi="宋体" w:eastAsia="宋体" w:cs="宋体"/>
          <w:bCs/>
          <w:snapToGrid/>
          <w:color w:val="auto"/>
          <w:spacing w:val="-3"/>
          <w:sz w:val="24"/>
          <w:szCs w:val="24"/>
          <w:lang w:eastAsia="zh-CN"/>
        </w:rPr>
        <w:t>根据城东湖流域特点，</w:t>
      </w:r>
      <w:r>
        <w:rPr>
          <w:rFonts w:hint="eastAsia" w:ascii="宋体" w:hAnsi="宋体" w:eastAsia="宋体" w:cs="宋体"/>
          <w:bCs/>
          <w:snapToGrid/>
          <w:color w:val="auto"/>
          <w:spacing w:val="-3"/>
          <w:sz w:val="24"/>
          <w:szCs w:val="24"/>
          <w:lang w:val="en-US" w:eastAsia="zh-CN"/>
        </w:rPr>
        <w:t>依据工程治理目标，</w:t>
      </w:r>
      <w:r>
        <w:rPr>
          <w:rFonts w:hint="eastAsia" w:ascii="宋体" w:hAnsi="宋体" w:eastAsia="宋体" w:cs="宋体"/>
          <w:bCs/>
          <w:snapToGrid/>
          <w:color w:val="auto"/>
          <w:spacing w:val="-3"/>
          <w:sz w:val="24"/>
          <w:szCs w:val="24"/>
          <w:lang w:eastAsia="zh-CN"/>
        </w:rPr>
        <w:t>利用现状沟塘，在主要入</w:t>
      </w:r>
      <w:r>
        <w:rPr>
          <w:rFonts w:hint="eastAsia" w:ascii="宋体" w:hAnsi="宋体" w:eastAsia="宋体" w:cs="宋体"/>
          <w:bCs/>
          <w:snapToGrid/>
          <w:color w:val="auto"/>
          <w:spacing w:val="-3"/>
          <w:sz w:val="24"/>
          <w:szCs w:val="24"/>
          <w:lang w:val="en-US" w:eastAsia="zh-CN"/>
        </w:rPr>
        <w:t>河及入湖支流旁路构建湿地和生态沟渠，</w:t>
      </w:r>
      <w:r>
        <w:rPr>
          <w:rFonts w:hint="eastAsia" w:ascii="宋体" w:hAnsi="宋体" w:eastAsia="宋体" w:cs="宋体"/>
          <w:bCs/>
          <w:snapToGrid/>
          <w:color w:val="auto"/>
          <w:spacing w:val="-3"/>
          <w:sz w:val="24"/>
          <w:szCs w:val="24"/>
          <w:lang w:eastAsia="zh-CN"/>
        </w:rPr>
        <w:t>配套建设部分污水收集管道及一座污水收集处理设施。①生态湿地建设工程：在新河入汲河口、孙桥堰沟入汲河口、郭圩大沟入城东湖河口、孟集镇南侧排水渠入城东湖河口、大庄东侧沟渠入城东湖口处共构建5处生态净化湿地；②</w:t>
      </w:r>
      <w:r>
        <w:rPr>
          <w:rFonts w:hint="eastAsia" w:ascii="宋体" w:hAnsi="宋体" w:eastAsia="宋体" w:cs="宋体"/>
          <w:bCs/>
          <w:snapToGrid/>
          <w:color w:val="auto"/>
          <w:spacing w:val="-3"/>
          <w:sz w:val="24"/>
          <w:szCs w:val="24"/>
          <w:lang w:val="en-US" w:eastAsia="zh-CN"/>
        </w:rPr>
        <w:t>缓冲带（</w:t>
      </w:r>
      <w:r>
        <w:rPr>
          <w:rFonts w:hint="eastAsia" w:ascii="宋体" w:hAnsi="宋体" w:eastAsia="宋体" w:cs="宋体"/>
          <w:bCs/>
          <w:snapToGrid/>
          <w:color w:val="auto"/>
          <w:spacing w:val="-3"/>
          <w:sz w:val="24"/>
          <w:szCs w:val="24"/>
          <w:lang w:eastAsia="zh-CN"/>
        </w:rPr>
        <w:t>沟渠）建设工程：结合现场实际条件，对新河、孙桥堰沟、汲东干渠连通沟等15条沟渠进行生态化改造；③截污纳管建设工程：在夏店镇砖洪村和孟集镇新建污水收集管道，扩建200m³/d污水处理设施1座。</w:t>
      </w:r>
      <w:bookmarkStart w:id="4" w:name="OLE_LINK6"/>
      <w:r>
        <w:rPr>
          <w:rFonts w:hint="eastAsia" w:ascii="宋体" w:hAnsi="宋体" w:eastAsia="宋体" w:cs="宋体"/>
          <w:bCs/>
          <w:snapToGrid/>
          <w:color w:val="auto"/>
          <w:spacing w:val="-3"/>
          <w:sz w:val="24"/>
          <w:szCs w:val="24"/>
          <w:lang w:eastAsia="zh-CN"/>
        </w:rPr>
        <w:t>本项目总投资金额为7464.42万元</w:t>
      </w:r>
      <w:bookmarkEnd w:id="4"/>
      <w:r>
        <w:rPr>
          <w:rFonts w:hint="eastAsia" w:ascii="宋体" w:hAnsi="宋体" w:eastAsia="宋体" w:cs="宋体"/>
          <w:bCs/>
          <w:snapToGrid/>
          <w:color w:val="auto"/>
          <w:spacing w:val="-3"/>
          <w:sz w:val="24"/>
          <w:szCs w:val="24"/>
          <w:lang w:eastAsia="zh-CN"/>
        </w:rPr>
        <w:t>。</w:t>
      </w:r>
    </w:p>
    <w:p w14:paraId="626E4B98">
      <w:pPr>
        <w:widowControl w:val="0"/>
        <w:kinsoku/>
        <w:autoSpaceDE/>
        <w:autoSpaceDN/>
        <w:ind w:left="3"/>
        <w:jc w:val="both"/>
        <w:textAlignment w:val="auto"/>
        <w:rPr>
          <w:rFonts w:hint="eastAsia" w:ascii="宋体" w:hAnsi="宋体" w:eastAsia="宋体" w:cs="宋体"/>
          <w:b/>
          <w:snapToGrid/>
          <w:spacing w:val="-3"/>
          <w:sz w:val="24"/>
          <w:szCs w:val="24"/>
          <w:lang w:eastAsia="zh-CN"/>
        </w:rPr>
      </w:pPr>
      <w:r>
        <w:rPr>
          <w:rFonts w:hint="eastAsia" w:ascii="宋体" w:hAnsi="宋体" w:eastAsia="宋体" w:cs="宋体"/>
          <w:b/>
          <w:snapToGrid/>
          <w:spacing w:val="-3"/>
          <w:sz w:val="24"/>
          <w:szCs w:val="24"/>
          <w:lang w:eastAsia="zh-CN"/>
        </w:rPr>
        <w:t>九、资金来源：</w:t>
      </w:r>
      <w:r>
        <w:rPr>
          <w:rFonts w:hint="eastAsia" w:ascii="宋体" w:hAnsi="宋体" w:eastAsia="宋体" w:cs="宋体"/>
          <w:bCs/>
          <w:snapToGrid/>
          <w:spacing w:val="-3"/>
          <w:sz w:val="24"/>
          <w:szCs w:val="24"/>
          <w:lang w:eastAsia="zh-CN"/>
        </w:rPr>
        <w:t>财政资金</w:t>
      </w:r>
    </w:p>
    <w:p w14:paraId="3C56F2C1">
      <w:pPr>
        <w:widowControl w:val="0"/>
        <w:kinsoku/>
        <w:autoSpaceDE/>
        <w:autoSpaceDN/>
        <w:ind w:left="3"/>
        <w:jc w:val="both"/>
        <w:textAlignment w:val="auto"/>
        <w:rPr>
          <w:rFonts w:hint="eastAsia" w:ascii="宋体" w:hAnsi="宋体" w:eastAsia="宋体" w:cs="宋体"/>
          <w:snapToGrid/>
          <w:color w:val="auto"/>
          <w:spacing w:val="-2"/>
          <w:sz w:val="24"/>
          <w:szCs w:val="24"/>
          <w:lang w:eastAsia="zh-CN"/>
        </w:rPr>
      </w:pPr>
      <w:r>
        <w:rPr>
          <w:rFonts w:hint="eastAsia" w:ascii="宋体" w:hAnsi="宋体" w:eastAsia="宋体" w:cs="宋体"/>
          <w:snapToGrid/>
          <w:color w:val="auto"/>
          <w:spacing w:val="-2"/>
          <w:sz w:val="24"/>
          <w:szCs w:val="24"/>
          <w:lang w:eastAsia="zh-CN"/>
        </w:rPr>
        <w:t>十、计划工期：施工总工期360日历天（含勘察设计及施工）。其中：</w:t>
      </w:r>
    </w:p>
    <w:p w14:paraId="6EABA0E4">
      <w:pPr>
        <w:widowControl w:val="0"/>
        <w:kinsoku/>
        <w:autoSpaceDE/>
        <w:autoSpaceDN/>
        <w:ind w:firstLine="1416" w:firstLineChars="600"/>
        <w:jc w:val="both"/>
        <w:textAlignment w:val="auto"/>
        <w:rPr>
          <w:rFonts w:hint="eastAsia" w:ascii="宋体" w:hAnsi="宋体" w:eastAsia="宋体" w:cs="宋体"/>
          <w:snapToGrid/>
          <w:color w:val="auto"/>
          <w:spacing w:val="-2"/>
          <w:sz w:val="24"/>
          <w:szCs w:val="24"/>
          <w:lang w:eastAsia="zh-CN"/>
        </w:rPr>
      </w:pPr>
      <w:r>
        <w:rPr>
          <w:rFonts w:hint="eastAsia" w:ascii="宋体" w:hAnsi="宋体" w:eastAsia="宋体" w:cs="宋体"/>
          <w:snapToGrid/>
          <w:color w:val="auto"/>
          <w:spacing w:val="-2"/>
          <w:sz w:val="24"/>
          <w:szCs w:val="24"/>
          <w:lang w:eastAsia="zh-CN"/>
        </w:rPr>
        <w:t>（1）勘察设计周期：45日历天；</w:t>
      </w:r>
    </w:p>
    <w:p w14:paraId="49482F4F">
      <w:pPr>
        <w:widowControl w:val="0"/>
        <w:kinsoku/>
        <w:autoSpaceDE/>
        <w:autoSpaceDN/>
        <w:ind w:firstLine="1416" w:firstLineChars="600"/>
        <w:jc w:val="both"/>
        <w:textAlignment w:val="auto"/>
        <w:rPr>
          <w:rFonts w:hint="eastAsia" w:ascii="宋体" w:hAnsi="宋体" w:eastAsia="宋体" w:cs="宋体"/>
          <w:snapToGrid/>
          <w:color w:val="FF0000"/>
          <w:spacing w:val="-2"/>
          <w:sz w:val="24"/>
          <w:szCs w:val="24"/>
          <w:lang w:eastAsia="zh-CN"/>
        </w:rPr>
      </w:pPr>
      <w:r>
        <w:rPr>
          <w:rFonts w:hint="eastAsia" w:ascii="宋体" w:hAnsi="宋体" w:eastAsia="宋体" w:cs="宋体"/>
          <w:snapToGrid/>
          <w:color w:val="auto"/>
          <w:spacing w:val="-2"/>
          <w:sz w:val="24"/>
          <w:szCs w:val="24"/>
          <w:lang w:eastAsia="zh-CN"/>
        </w:rPr>
        <w:t>（2）施工工期：315日历天。</w:t>
      </w:r>
    </w:p>
    <w:p w14:paraId="714BB380">
      <w:pPr>
        <w:widowControl w:val="0"/>
        <w:kinsoku/>
        <w:autoSpaceDE/>
        <w:autoSpaceDN/>
        <w:jc w:val="both"/>
        <w:textAlignment w:val="auto"/>
        <w:rPr>
          <w:rFonts w:hint="eastAsia" w:ascii="宋体" w:hAnsi="宋体" w:eastAsia="宋体" w:cs="宋体"/>
          <w:b/>
          <w:snapToGrid/>
          <w:spacing w:val="2"/>
          <w:sz w:val="24"/>
          <w:szCs w:val="24"/>
          <w:lang w:eastAsia="zh-CN"/>
        </w:rPr>
      </w:pPr>
      <w:r>
        <w:rPr>
          <w:rFonts w:hint="eastAsia" w:ascii="宋体" w:hAnsi="宋体" w:eastAsia="宋体" w:cs="宋体"/>
          <w:b/>
          <w:snapToGrid/>
          <w:spacing w:val="-3"/>
          <w:sz w:val="24"/>
          <w:szCs w:val="24"/>
          <w:lang w:eastAsia="zh-CN"/>
        </w:rPr>
        <w:t>十一、</w:t>
      </w:r>
      <w:r>
        <w:rPr>
          <w:rFonts w:hint="eastAsia" w:ascii="宋体" w:hAnsi="宋体" w:eastAsia="宋体" w:cs="宋体"/>
          <w:b/>
          <w:snapToGrid/>
          <w:spacing w:val="2"/>
          <w:sz w:val="24"/>
          <w:szCs w:val="24"/>
          <w:lang w:eastAsia="zh-CN"/>
        </w:rPr>
        <w:t>投标人资质、资格要求：</w:t>
      </w:r>
    </w:p>
    <w:p w14:paraId="0032327C">
      <w:pPr>
        <w:widowControl w:val="0"/>
        <w:kinsoku/>
        <w:autoSpaceDE/>
        <w:autoSpaceDN/>
        <w:ind w:left="488"/>
        <w:jc w:val="both"/>
        <w:textAlignment w:val="auto"/>
        <w:rPr>
          <w:rFonts w:hint="eastAsia" w:ascii="宋体" w:hAnsi="宋体" w:eastAsia="宋体" w:cs="宋体"/>
          <w:snapToGrid/>
          <w:spacing w:val="2"/>
          <w:sz w:val="24"/>
          <w:szCs w:val="24"/>
          <w:lang w:eastAsia="zh-CN"/>
        </w:rPr>
      </w:pPr>
      <w:r>
        <w:rPr>
          <w:rFonts w:hint="eastAsia" w:ascii="宋体" w:hAnsi="宋体" w:eastAsia="宋体" w:cs="宋体"/>
          <w:snapToGrid/>
          <w:spacing w:val="2"/>
          <w:sz w:val="24"/>
          <w:szCs w:val="24"/>
          <w:lang w:eastAsia="zh-CN"/>
        </w:rPr>
        <w:t>1、投标人须同时具备以下资质要</w:t>
      </w:r>
      <w:bookmarkStart w:id="5" w:name="OLE_LINK5"/>
      <w:r>
        <w:rPr>
          <w:rFonts w:hint="eastAsia" w:ascii="宋体" w:hAnsi="宋体" w:eastAsia="宋体" w:cs="宋体"/>
          <w:snapToGrid/>
          <w:spacing w:val="2"/>
          <w:sz w:val="24"/>
          <w:szCs w:val="24"/>
          <w:lang w:eastAsia="zh-CN"/>
        </w:rPr>
        <w:t>求：</w:t>
      </w:r>
    </w:p>
    <w:p w14:paraId="20C771A0">
      <w:pPr>
        <w:widowControl w:val="0"/>
        <w:kinsoku/>
        <w:autoSpaceDE/>
        <w:autoSpaceDN/>
        <w:ind w:left="488"/>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（1）设计资质要求</w:t>
      </w:r>
      <w:r>
        <w:rPr>
          <w:rFonts w:hint="eastAsia" w:ascii="宋体" w:hAnsi="宋体" w:eastAsia="宋体" w:cs="宋体"/>
          <w:snapToGrid/>
          <w:spacing w:val="3"/>
          <w:sz w:val="24"/>
          <w:szCs w:val="24"/>
          <w:lang w:eastAsia="zh-CN"/>
        </w:rPr>
        <w:t>：须满足以下条件之</w:t>
      </w:r>
      <w:bookmarkEnd w:id="5"/>
      <w:r>
        <w:rPr>
          <w:rFonts w:hint="eastAsia" w:ascii="宋体" w:hAnsi="宋体" w:eastAsia="宋体" w:cs="宋体"/>
          <w:snapToGrid/>
          <w:spacing w:val="3"/>
          <w:sz w:val="24"/>
          <w:szCs w:val="24"/>
          <w:lang w:eastAsia="zh-CN"/>
        </w:rPr>
        <w:t>一</w:t>
      </w:r>
    </w:p>
    <w:p w14:paraId="1E5ED1E8">
      <w:pPr>
        <w:widowControl w:val="0"/>
        <w:kinsoku/>
        <w:autoSpaceDE/>
        <w:autoSpaceDN/>
        <w:ind w:left="488"/>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①工程设计综合甲级资质；</w:t>
      </w:r>
    </w:p>
    <w:p w14:paraId="36A77DC9">
      <w:pPr>
        <w:widowControl w:val="0"/>
        <w:kinsoku/>
        <w:autoSpaceDE/>
        <w:autoSpaceDN/>
        <w:ind w:left="487"/>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②工程设计市政行业甲级资质；</w:t>
      </w:r>
    </w:p>
    <w:p w14:paraId="52914CF4">
      <w:pPr>
        <w:widowControl w:val="0"/>
        <w:kinsoku/>
        <w:autoSpaceDE/>
        <w:autoSpaceDN/>
        <w:ind w:left="487"/>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③工程设计市政行业专业甲级资质；</w:t>
      </w:r>
    </w:p>
    <w:p w14:paraId="403EA5E0">
      <w:pPr>
        <w:widowControl w:val="0"/>
        <w:numPr>
          <w:ilvl w:val="0"/>
          <w:numId w:val="2"/>
        </w:numPr>
        <w:kinsoku/>
        <w:autoSpaceDE/>
        <w:autoSpaceDN/>
        <w:ind w:firstLine="488" w:firstLineChars="2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2"/>
          <w:sz w:val="24"/>
          <w:szCs w:val="24"/>
          <w:lang w:eastAsia="zh-CN"/>
        </w:rPr>
        <w:t>施工资质要求：</w:t>
      </w:r>
      <w:r>
        <w:rPr>
          <w:rFonts w:hint="eastAsia" w:ascii="宋体" w:hAnsi="宋体" w:eastAsia="宋体" w:cs="宋体"/>
          <w:snapToGrid/>
          <w:spacing w:val="3"/>
          <w:sz w:val="24"/>
          <w:szCs w:val="24"/>
          <w:lang w:eastAsia="zh-CN"/>
        </w:rPr>
        <w:t>须</w:t>
      </w:r>
      <w:r>
        <w:rPr>
          <w:rFonts w:hint="eastAsia" w:ascii="宋体" w:hAnsi="宋体" w:eastAsia="宋体" w:cs="宋体"/>
          <w:snapToGrid/>
          <w:spacing w:val="2"/>
          <w:sz w:val="24"/>
          <w:szCs w:val="24"/>
          <w:lang w:val="en-US" w:eastAsia="zh-CN"/>
        </w:rPr>
        <w:t>满足以下条件</w:t>
      </w:r>
    </w:p>
    <w:p w14:paraId="2B420AAD">
      <w:pPr>
        <w:widowControl w:val="0"/>
        <w:numPr>
          <w:ilvl w:val="0"/>
          <w:numId w:val="0"/>
        </w:numPr>
        <w:kinsoku/>
        <w:autoSpaceDE/>
        <w:autoSpaceDN/>
        <w:ind w:left="479" w:leftChars="228" w:firstLine="0" w:firstLineChars="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2"/>
          <w:sz w:val="24"/>
          <w:szCs w:val="24"/>
          <w:lang w:eastAsia="zh-CN"/>
        </w:rPr>
        <w:t>①具备市政公用工程施工总承包二级</w:t>
      </w:r>
      <w:r>
        <w:rPr>
          <w:rFonts w:hint="eastAsia" w:ascii="宋体" w:hAnsi="宋体" w:eastAsia="宋体" w:cs="宋体"/>
          <w:snapToGrid/>
          <w:spacing w:val="1"/>
          <w:sz w:val="24"/>
          <w:szCs w:val="24"/>
          <w:lang w:eastAsia="zh-CN"/>
        </w:rPr>
        <w:t>及以上资质</w:t>
      </w:r>
      <w:r>
        <w:rPr>
          <w:rFonts w:hint="eastAsia" w:ascii="宋体" w:hAnsi="宋体" w:eastAsia="宋体" w:cs="宋体"/>
          <w:snapToGrid/>
          <w:spacing w:val="3"/>
          <w:sz w:val="24"/>
          <w:szCs w:val="24"/>
          <w:lang w:eastAsia="zh-CN"/>
        </w:rPr>
        <w:t>，同时具备有效的安全生产许可证。</w:t>
      </w:r>
      <w:r>
        <w:rPr>
          <w:rFonts w:hint="eastAsia" w:ascii="宋体" w:hAnsi="宋体" w:eastAsia="宋体" w:cs="宋体"/>
          <w:snapToGrid/>
          <w:spacing w:val="2"/>
          <w:sz w:val="24"/>
          <w:szCs w:val="24"/>
          <w:lang w:eastAsia="zh-CN"/>
        </w:rPr>
        <w:t>②具备</w:t>
      </w:r>
      <w:r>
        <w:rPr>
          <w:rFonts w:hint="eastAsia" w:ascii="宋体" w:hAnsi="宋体" w:eastAsia="宋体" w:cs="宋体"/>
          <w:snapToGrid/>
          <w:spacing w:val="2"/>
          <w:sz w:val="24"/>
          <w:szCs w:val="24"/>
          <w:lang w:val="en-US" w:eastAsia="zh-CN"/>
        </w:rPr>
        <w:t>环保</w:t>
      </w:r>
      <w:r>
        <w:rPr>
          <w:rFonts w:hint="eastAsia" w:ascii="宋体" w:hAnsi="宋体" w:eastAsia="宋体" w:cs="宋体"/>
          <w:snapToGrid/>
          <w:spacing w:val="2"/>
          <w:sz w:val="24"/>
          <w:szCs w:val="24"/>
          <w:lang w:eastAsia="zh-CN"/>
        </w:rPr>
        <w:t>工程</w:t>
      </w:r>
      <w:r>
        <w:rPr>
          <w:rFonts w:hint="eastAsia" w:ascii="宋体" w:hAnsi="宋体" w:eastAsia="宋体" w:cs="宋体"/>
          <w:snapToGrid/>
          <w:spacing w:val="2"/>
          <w:sz w:val="24"/>
          <w:szCs w:val="24"/>
          <w:lang w:val="en-US" w:eastAsia="zh-CN"/>
        </w:rPr>
        <w:t>专业</w:t>
      </w:r>
      <w:r>
        <w:rPr>
          <w:rFonts w:hint="eastAsia" w:ascii="宋体" w:hAnsi="宋体" w:eastAsia="宋体" w:cs="宋体"/>
          <w:snapToGrid/>
          <w:spacing w:val="2"/>
          <w:sz w:val="24"/>
          <w:szCs w:val="24"/>
          <w:lang w:eastAsia="zh-CN"/>
        </w:rPr>
        <w:t>承包二级</w:t>
      </w:r>
      <w:r>
        <w:rPr>
          <w:rFonts w:hint="eastAsia" w:ascii="宋体" w:hAnsi="宋体" w:eastAsia="宋体" w:cs="宋体"/>
          <w:snapToGrid/>
          <w:spacing w:val="1"/>
          <w:sz w:val="24"/>
          <w:szCs w:val="24"/>
          <w:lang w:eastAsia="zh-CN"/>
        </w:rPr>
        <w:t>及以上资质</w:t>
      </w:r>
      <w:r>
        <w:rPr>
          <w:rFonts w:hint="eastAsia" w:ascii="宋体" w:hAnsi="宋体" w:eastAsia="宋体" w:cs="宋体"/>
          <w:snapToGrid/>
          <w:spacing w:val="3"/>
          <w:sz w:val="24"/>
          <w:szCs w:val="24"/>
          <w:lang w:eastAsia="zh-CN"/>
        </w:rPr>
        <w:t>，同时具备有效的安全生产许可证。</w:t>
      </w:r>
    </w:p>
    <w:p w14:paraId="1FA0671E">
      <w:pPr>
        <w:widowControl w:val="0"/>
        <w:kinsoku/>
        <w:autoSpaceDE/>
        <w:autoSpaceDN/>
        <w:ind w:left="691"/>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13"/>
          <w:sz w:val="24"/>
          <w:szCs w:val="24"/>
          <w:lang w:eastAsia="zh-CN"/>
        </w:rPr>
        <w:t>2、相关负责人要求：</w:t>
      </w:r>
    </w:p>
    <w:p w14:paraId="67A09C53">
      <w:pPr>
        <w:widowControl w:val="0"/>
        <w:kinsoku/>
        <w:autoSpaceDE/>
        <w:autoSpaceDN/>
        <w:ind w:left="23" w:right="152" w:firstLine="47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（1）项目经理：投标人拟委任的项目经理须具备市政公用工程专业一级注</w:t>
      </w:r>
      <w:r>
        <w:rPr>
          <w:rFonts w:hint="eastAsia" w:ascii="宋体" w:hAnsi="宋体" w:eastAsia="宋体" w:cs="宋体"/>
          <w:snapToGrid/>
          <w:spacing w:val="3"/>
          <w:sz w:val="24"/>
          <w:szCs w:val="24"/>
          <w:lang w:eastAsia="zh-CN"/>
        </w:rPr>
        <w:t>册建造师执业资格，具有建设行政主管部门颁</w:t>
      </w:r>
      <w:r>
        <w:rPr>
          <w:rFonts w:hint="eastAsia" w:ascii="宋体" w:hAnsi="宋体" w:eastAsia="宋体" w:cs="宋体"/>
          <w:snapToGrid/>
          <w:spacing w:val="2"/>
          <w:sz w:val="24"/>
          <w:szCs w:val="24"/>
          <w:lang w:eastAsia="zh-CN"/>
        </w:rPr>
        <w:t>发的有效的安全生产考核合格证</w:t>
      </w:r>
      <w:r>
        <w:rPr>
          <w:rFonts w:hint="eastAsia" w:ascii="宋体" w:hAnsi="宋体" w:eastAsia="宋体" w:cs="宋体"/>
          <w:snapToGrid/>
          <w:spacing w:val="1"/>
          <w:sz w:val="24"/>
          <w:szCs w:val="24"/>
          <w:lang w:eastAsia="zh-CN"/>
        </w:rPr>
        <w:t>书（B类）。联合体投标的，项目经理由承担施</w:t>
      </w:r>
      <w:r>
        <w:rPr>
          <w:rFonts w:hint="eastAsia" w:ascii="宋体" w:hAnsi="宋体" w:eastAsia="宋体" w:cs="宋体"/>
          <w:snapToGrid/>
          <w:sz w:val="24"/>
          <w:szCs w:val="24"/>
          <w:lang w:eastAsia="zh-CN"/>
        </w:rPr>
        <w:t>工任务的一方提供。</w:t>
      </w:r>
    </w:p>
    <w:p w14:paraId="1799FF5C">
      <w:pPr>
        <w:widowControl w:val="0"/>
        <w:kinsoku/>
        <w:autoSpaceDE/>
        <w:autoSpaceDN/>
        <w:ind w:left="28" w:right="142" w:firstLine="4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4"/>
          <w:sz w:val="24"/>
          <w:szCs w:val="24"/>
          <w:lang w:eastAsia="zh-CN"/>
        </w:rPr>
        <w:t>注：①联合体投标的项目经理须为牵头方人员；②须提供注册建造师注册证</w:t>
      </w:r>
      <w:r>
        <w:rPr>
          <w:rFonts w:hint="eastAsia" w:ascii="宋体" w:hAnsi="宋体" w:eastAsia="宋体" w:cs="宋体"/>
          <w:snapToGrid/>
          <w:spacing w:val="-8"/>
          <w:sz w:val="24"/>
          <w:szCs w:val="24"/>
          <w:lang w:eastAsia="zh-CN"/>
        </w:rPr>
        <w:t>书，注册证书须注册在投标人所在单位；③须提供有效的安全生产考核合格B证。</w:t>
      </w:r>
    </w:p>
    <w:p w14:paraId="09E632C8">
      <w:pPr>
        <w:widowControl w:val="0"/>
        <w:kinsoku/>
        <w:autoSpaceDE/>
        <w:autoSpaceDN/>
        <w:ind w:left="6" w:right="167" w:firstLine="488"/>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6"/>
          <w:sz w:val="24"/>
          <w:szCs w:val="24"/>
          <w:lang w:eastAsia="zh-CN"/>
        </w:rPr>
        <w:t>（2）设计负责人须具有市政公用工程相关专业高级及以上工程师职称。联合体投标的，设计负责人由承担设计任务的一方提供。</w:t>
      </w:r>
    </w:p>
    <w:p w14:paraId="5F36EBA3">
      <w:pPr>
        <w:widowControl w:val="0"/>
        <w:kinsoku/>
        <w:autoSpaceDE/>
        <w:autoSpaceDN/>
        <w:ind w:firstLine="484"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注：①联合体投标的拟委任设计负责人须为联合体中</w:t>
      </w:r>
      <w:r>
        <w:rPr>
          <w:rFonts w:hint="eastAsia" w:ascii="宋体" w:hAnsi="宋体" w:eastAsia="宋体" w:cs="宋体"/>
          <w:snapToGrid/>
          <w:sz w:val="24"/>
          <w:szCs w:val="24"/>
          <w:lang w:eastAsia="zh-CN"/>
        </w:rPr>
        <w:t>承担设计职责方人员；</w:t>
      </w:r>
    </w:p>
    <w:p w14:paraId="58FAA2E8">
      <w:pPr>
        <w:widowControl w:val="0"/>
        <w:kinsoku/>
        <w:autoSpaceDE/>
        <w:autoSpaceDN/>
        <w:ind w:right="125" w:firstLine="928" w:firstLineChars="4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4"/>
          <w:sz w:val="24"/>
          <w:szCs w:val="24"/>
          <w:lang w:eastAsia="zh-CN"/>
        </w:rPr>
        <w:t>②</w:t>
      </w:r>
      <w:r>
        <w:rPr>
          <w:rFonts w:hint="eastAsia" w:ascii="宋体" w:hAnsi="宋体" w:eastAsia="宋体" w:cs="宋体"/>
          <w:snapToGrid/>
          <w:spacing w:val="4"/>
          <w:sz w:val="24"/>
          <w:szCs w:val="24"/>
          <w:lang w:eastAsia="zh-CN"/>
        </w:rPr>
        <w:t>设计负责人的专业以职称证书上所注明专业为准，如职称证书未注明专业，</w:t>
      </w:r>
      <w:r>
        <w:rPr>
          <w:rFonts w:hint="eastAsia" w:ascii="宋体" w:hAnsi="宋体" w:eastAsia="宋体" w:cs="宋体"/>
          <w:snapToGrid/>
          <w:spacing w:val="3"/>
          <w:sz w:val="24"/>
          <w:szCs w:val="24"/>
          <w:lang w:eastAsia="zh-CN"/>
        </w:rPr>
        <w:t>提供相关学历证书，以学历证书上所学专业为准。</w:t>
      </w:r>
    </w:p>
    <w:p w14:paraId="22487E31">
      <w:pPr>
        <w:widowControl w:val="0"/>
        <w:kinsoku/>
        <w:autoSpaceDE/>
        <w:autoSpaceDN/>
        <w:ind w:left="496"/>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13"/>
          <w:sz w:val="24"/>
          <w:szCs w:val="24"/>
          <w:lang w:eastAsia="zh-CN"/>
        </w:rPr>
        <w:t>3、投标人资格业绩：</w:t>
      </w:r>
    </w:p>
    <w:p w14:paraId="521DE475">
      <w:pPr>
        <w:widowControl w:val="0"/>
        <w:kinsoku/>
        <w:autoSpaceDE/>
        <w:autoSpaceDN/>
        <w:ind w:left="493"/>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3.1设计业绩</w:t>
      </w:r>
    </w:p>
    <w:p w14:paraId="5FD2415B">
      <w:pPr>
        <w:widowControl w:val="0"/>
        <w:kinsoku/>
        <w:autoSpaceDE/>
        <w:autoSpaceDN/>
        <w:ind w:firstLine="46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5"/>
          <w:sz w:val="24"/>
          <w:szCs w:val="24"/>
          <w:lang w:eastAsia="zh-CN"/>
        </w:rPr>
        <w:t>投标人近5年内（以投标截止日为结束日，向前推算5年），投标人须完成单个合同总投资4500万元</w:t>
      </w:r>
      <w:r>
        <w:rPr>
          <w:rFonts w:hint="eastAsia" w:ascii="宋体" w:hAnsi="宋体" w:eastAsia="宋体" w:cs="宋体"/>
          <w:snapToGrid/>
          <w:spacing w:val="3"/>
          <w:sz w:val="24"/>
          <w:szCs w:val="24"/>
          <w:lang w:eastAsia="zh-CN"/>
        </w:rPr>
        <w:t>及以上市政公用工程（或</w:t>
      </w:r>
      <w:r>
        <w:rPr>
          <w:rFonts w:hint="eastAsia" w:ascii="宋体" w:hAnsi="宋体" w:eastAsia="宋体" w:cs="宋体"/>
          <w:snapToGrid/>
          <w:spacing w:val="-1"/>
          <w:sz w:val="24"/>
          <w:szCs w:val="24"/>
          <w:lang w:eastAsia="zh-CN"/>
        </w:rPr>
        <w:t>工程总承包）业绩或者150万元</w:t>
      </w:r>
      <w:r>
        <w:rPr>
          <w:rFonts w:hint="eastAsia" w:ascii="宋体" w:hAnsi="宋体" w:eastAsia="宋体" w:cs="宋体"/>
          <w:snapToGrid/>
          <w:spacing w:val="-1"/>
          <w:sz w:val="24"/>
          <w:szCs w:val="24"/>
          <w:lang w:val="en-US" w:eastAsia="zh-CN"/>
        </w:rPr>
        <w:t>及以上</w:t>
      </w:r>
      <w:r>
        <w:rPr>
          <w:rFonts w:hint="eastAsia" w:ascii="宋体" w:hAnsi="宋体" w:eastAsia="宋体" w:cs="宋体"/>
          <w:snapToGrid/>
          <w:spacing w:val="-1"/>
          <w:sz w:val="24"/>
          <w:szCs w:val="24"/>
          <w:lang w:eastAsia="zh-CN"/>
        </w:rPr>
        <w:t>的</w:t>
      </w:r>
      <w:r>
        <w:rPr>
          <w:rFonts w:hint="eastAsia" w:ascii="宋体" w:hAnsi="宋体" w:eastAsia="宋体" w:cs="宋体"/>
          <w:snapToGrid/>
          <w:spacing w:val="3"/>
          <w:sz w:val="24"/>
          <w:szCs w:val="24"/>
          <w:lang w:eastAsia="zh-CN"/>
        </w:rPr>
        <w:t>市政公用工程</w:t>
      </w:r>
      <w:r>
        <w:rPr>
          <w:rFonts w:hint="eastAsia" w:ascii="宋体" w:hAnsi="宋体" w:eastAsia="宋体" w:cs="宋体"/>
          <w:snapToGrid/>
          <w:spacing w:val="-1"/>
          <w:sz w:val="24"/>
          <w:szCs w:val="24"/>
          <w:lang w:eastAsia="zh-CN"/>
        </w:rPr>
        <w:t>设计业绩。（如为工程总承包业绩</w:t>
      </w:r>
      <w:r>
        <w:rPr>
          <w:rFonts w:hint="eastAsia" w:ascii="宋体" w:hAnsi="宋体" w:eastAsia="宋体" w:cs="宋体"/>
          <w:snapToGrid/>
          <w:spacing w:val="-2"/>
          <w:sz w:val="24"/>
          <w:szCs w:val="24"/>
          <w:lang w:eastAsia="zh-CN"/>
        </w:rPr>
        <w:t>，投标人应在业绩中承担设计任务）</w:t>
      </w:r>
      <w:r>
        <w:rPr>
          <w:rFonts w:hint="eastAsia" w:ascii="宋体" w:hAnsi="宋体" w:eastAsia="宋体" w:cs="宋体"/>
          <w:snapToGrid/>
          <w:position w:val="1"/>
          <w:sz w:val="24"/>
          <w:szCs w:val="24"/>
          <w:lang w:eastAsia="zh-CN"/>
        </w:rPr>
        <w:t>。</w:t>
      </w:r>
    </w:p>
    <w:p w14:paraId="20222CA2">
      <w:pPr>
        <w:widowControl w:val="0"/>
        <w:kinsoku/>
        <w:autoSpaceDE/>
        <w:autoSpaceDN/>
        <w:ind w:right="84" w:firstLine="492"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3"/>
          <w:sz w:val="24"/>
          <w:szCs w:val="24"/>
          <w:lang w:eastAsia="zh-CN"/>
        </w:rPr>
        <w:t>注：投标文件中须同时提供以下①和②资料原件扫描件，否则，该业绩不</w:t>
      </w:r>
      <w:r>
        <w:rPr>
          <w:rFonts w:hint="eastAsia" w:ascii="宋体" w:hAnsi="宋体" w:eastAsia="宋体" w:cs="宋体"/>
          <w:snapToGrid/>
          <w:spacing w:val="-7"/>
          <w:sz w:val="24"/>
          <w:szCs w:val="24"/>
          <w:lang w:eastAsia="zh-CN"/>
        </w:rPr>
        <w:t>予认可。</w:t>
      </w:r>
    </w:p>
    <w:p w14:paraId="5A16FDE5">
      <w:pPr>
        <w:widowControl w:val="0"/>
        <w:kinsoku/>
        <w:autoSpaceDE/>
        <w:autoSpaceDN/>
        <w:ind w:firstLine="487"/>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3"/>
          <w:sz w:val="24"/>
          <w:szCs w:val="24"/>
          <w:lang w:eastAsia="zh-CN"/>
        </w:rPr>
        <w:t>①合同协议书；②施工图图审合格证明材料（如无须进行施工图审查的项目需提供经主管部门或建设单位认可的相关施工图成果证明材料）。③时间以合同签订时间为准。如投标人提供的上述业绩证明材料未能完整或充分反映评审因素（如合同总投资、业绩规模、合同内容等关键评审要素）的，应另附合同发包方出具的证明材料（须加盖合同发包方单位公章）予以明确说明，否则</w:t>
      </w:r>
      <w:r>
        <w:rPr>
          <w:rFonts w:hint="eastAsia" w:ascii="宋体" w:hAnsi="宋体" w:eastAsia="宋体" w:cs="宋体"/>
          <w:snapToGrid/>
          <w:spacing w:val="-1"/>
          <w:sz w:val="24"/>
          <w:szCs w:val="24"/>
          <w:lang w:eastAsia="zh-CN"/>
        </w:rPr>
        <w:t>评标委员会不予认可。如本次为联合体投标，则提供的业绩须为本次联合</w:t>
      </w:r>
      <w:r>
        <w:rPr>
          <w:rFonts w:hint="eastAsia" w:ascii="宋体" w:hAnsi="宋体" w:eastAsia="宋体" w:cs="宋体"/>
          <w:snapToGrid/>
          <w:spacing w:val="-2"/>
          <w:sz w:val="24"/>
          <w:szCs w:val="24"/>
          <w:lang w:eastAsia="zh-CN"/>
        </w:rPr>
        <w:t>体中承担设计任务的一方提供符合要求的业绩予以认可。</w:t>
      </w:r>
    </w:p>
    <w:p w14:paraId="3F171920">
      <w:pPr>
        <w:widowControl w:val="0"/>
        <w:kinsoku/>
        <w:autoSpaceDE/>
        <w:autoSpaceDN/>
        <w:ind w:left="473"/>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5"/>
          <w:sz w:val="24"/>
          <w:szCs w:val="24"/>
          <w:lang w:eastAsia="zh-CN"/>
        </w:rPr>
        <w:t>3.2施工业绩</w:t>
      </w:r>
    </w:p>
    <w:p w14:paraId="742BBFC8">
      <w:pPr>
        <w:widowControl w:val="0"/>
        <w:kinsoku/>
        <w:autoSpaceDE/>
        <w:autoSpaceDN/>
        <w:ind w:left="2" w:right="2" w:firstLine="505"/>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5"/>
          <w:sz w:val="24"/>
          <w:szCs w:val="24"/>
          <w:lang w:eastAsia="zh-CN"/>
        </w:rPr>
        <w:t>投标人近5年内（以投标截止日为结束日，向前推算5年）</w:t>
      </w:r>
      <w:r>
        <w:rPr>
          <w:rFonts w:hint="eastAsia" w:ascii="宋体" w:hAnsi="宋体" w:eastAsia="宋体" w:cs="宋体"/>
          <w:snapToGrid/>
          <w:spacing w:val="1"/>
          <w:sz w:val="24"/>
          <w:szCs w:val="24"/>
          <w:lang w:eastAsia="zh-CN"/>
        </w:rPr>
        <w:t>，投标人须完成单个合同总金额4500万元及以</w:t>
      </w:r>
      <w:r>
        <w:rPr>
          <w:rFonts w:hint="eastAsia" w:ascii="宋体" w:hAnsi="宋体" w:eastAsia="宋体" w:cs="宋体"/>
          <w:snapToGrid/>
          <w:spacing w:val="3"/>
          <w:sz w:val="24"/>
          <w:szCs w:val="24"/>
          <w:lang w:eastAsia="zh-CN"/>
        </w:rPr>
        <w:t>上的市政公用工程施工总承包（或工程总承包）业绩（如为工程总承包业绩，投标人应在业绩中承担施工任</w:t>
      </w:r>
      <w:r>
        <w:rPr>
          <w:rFonts w:hint="eastAsia" w:ascii="宋体" w:hAnsi="宋体" w:eastAsia="宋体" w:cs="宋体"/>
          <w:snapToGrid/>
          <w:spacing w:val="-9"/>
          <w:sz w:val="24"/>
          <w:szCs w:val="24"/>
          <w:lang w:eastAsia="zh-CN"/>
        </w:rPr>
        <w:t>务）。</w:t>
      </w:r>
    </w:p>
    <w:p w14:paraId="4D694FB8">
      <w:pPr>
        <w:widowControl w:val="0"/>
        <w:kinsoku/>
        <w:autoSpaceDE/>
        <w:autoSpaceDN/>
        <w:ind w:firstLine="464"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4"/>
          <w:sz w:val="24"/>
          <w:szCs w:val="24"/>
          <w:lang w:eastAsia="zh-CN"/>
        </w:rPr>
        <w:t>注：投标文件中须同时提供以下①和②资料原件扫描件，否则，该业绩不予</w:t>
      </w:r>
      <w:r>
        <w:rPr>
          <w:rFonts w:hint="eastAsia" w:ascii="宋体" w:hAnsi="宋体" w:eastAsia="宋体" w:cs="宋体"/>
          <w:snapToGrid/>
          <w:spacing w:val="-10"/>
          <w:sz w:val="24"/>
          <w:szCs w:val="24"/>
          <w:lang w:eastAsia="zh-CN"/>
        </w:rPr>
        <w:t>认可。</w:t>
      </w:r>
    </w:p>
    <w:p w14:paraId="5C242D9E">
      <w:pPr>
        <w:widowControl w:val="0"/>
        <w:kinsoku/>
        <w:autoSpaceDE/>
        <w:autoSpaceDN/>
        <w:ind w:right="82" w:firstLine="52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①合同协议书；②竣工验收证明材料：竣工验收报</w:t>
      </w:r>
      <w:r>
        <w:rPr>
          <w:rFonts w:hint="eastAsia" w:ascii="宋体" w:hAnsi="宋体" w:eastAsia="宋体" w:cs="宋体"/>
          <w:snapToGrid/>
          <w:spacing w:val="-1"/>
          <w:sz w:val="24"/>
          <w:szCs w:val="24"/>
          <w:lang w:eastAsia="zh-CN"/>
        </w:rPr>
        <w:t>告或竣工验收备案表或</w:t>
      </w:r>
      <w:r>
        <w:rPr>
          <w:rFonts w:hint="eastAsia" w:ascii="宋体" w:hAnsi="宋体" w:eastAsia="宋体" w:cs="宋体"/>
          <w:snapToGrid/>
          <w:spacing w:val="-4"/>
          <w:sz w:val="24"/>
          <w:szCs w:val="24"/>
          <w:lang w:eastAsia="zh-CN"/>
        </w:rPr>
        <w:t>行政主管部门颁发的竣工验收证明材料或至少有建设单位、设计单位、监理单位</w:t>
      </w:r>
      <w:r>
        <w:rPr>
          <w:rFonts w:hint="eastAsia" w:ascii="宋体" w:hAnsi="宋体" w:eastAsia="宋体" w:cs="宋体"/>
          <w:snapToGrid/>
          <w:spacing w:val="-3"/>
          <w:sz w:val="24"/>
          <w:szCs w:val="24"/>
          <w:lang w:eastAsia="zh-CN"/>
        </w:rPr>
        <w:t>、施工单位四方参与竣工验收并盖章的竣工</w:t>
      </w:r>
      <w:r>
        <w:rPr>
          <w:rFonts w:hint="eastAsia" w:ascii="宋体" w:hAnsi="宋体" w:eastAsia="宋体" w:cs="宋体"/>
          <w:snapToGrid/>
          <w:spacing w:val="-4"/>
          <w:sz w:val="24"/>
          <w:szCs w:val="24"/>
          <w:lang w:eastAsia="zh-CN"/>
        </w:rPr>
        <w:t>验收证明材料。③时间以竣工验收建设单位签章落款时间为准。如投标人提供的上述业绩证明材料未能完整或充分反</w:t>
      </w:r>
      <w:r>
        <w:rPr>
          <w:rFonts w:hint="eastAsia" w:ascii="宋体" w:hAnsi="宋体" w:eastAsia="宋体" w:cs="宋体"/>
          <w:snapToGrid/>
          <w:spacing w:val="-3"/>
          <w:sz w:val="24"/>
          <w:szCs w:val="24"/>
          <w:lang w:eastAsia="zh-CN"/>
        </w:rPr>
        <w:t>映评审因素（如合同总金额、业绩规模、合同</w:t>
      </w:r>
      <w:r>
        <w:rPr>
          <w:rFonts w:hint="eastAsia" w:ascii="宋体" w:hAnsi="宋体" w:eastAsia="宋体" w:cs="宋体"/>
          <w:snapToGrid/>
          <w:spacing w:val="-4"/>
          <w:sz w:val="24"/>
          <w:szCs w:val="24"/>
          <w:lang w:eastAsia="zh-CN"/>
        </w:rPr>
        <w:t>内容等关键评审要素）的，应另附合同发包方出具的证明材料（须加盖合同发包方单位公章）予以明确说明，否则</w:t>
      </w:r>
      <w:r>
        <w:rPr>
          <w:rFonts w:hint="eastAsia" w:ascii="宋体" w:hAnsi="宋体" w:eastAsia="宋体" w:cs="宋体"/>
          <w:snapToGrid/>
          <w:spacing w:val="-5"/>
          <w:sz w:val="24"/>
          <w:szCs w:val="24"/>
          <w:lang w:eastAsia="zh-CN"/>
        </w:rPr>
        <w:t>评标委员会不予认可。如本次为联合体投标，则提供的业绩须为本次联</w:t>
      </w:r>
      <w:r>
        <w:rPr>
          <w:rFonts w:hint="eastAsia" w:ascii="宋体" w:hAnsi="宋体" w:eastAsia="宋体" w:cs="宋体"/>
          <w:snapToGrid/>
          <w:spacing w:val="-6"/>
          <w:sz w:val="24"/>
          <w:szCs w:val="24"/>
          <w:lang w:eastAsia="zh-CN"/>
        </w:rPr>
        <w:t>合体中承</w:t>
      </w:r>
      <w:r>
        <w:rPr>
          <w:rFonts w:hint="eastAsia" w:ascii="宋体" w:hAnsi="宋体" w:eastAsia="宋体" w:cs="宋体"/>
          <w:snapToGrid/>
          <w:spacing w:val="-2"/>
          <w:sz w:val="24"/>
          <w:szCs w:val="24"/>
          <w:lang w:eastAsia="zh-CN"/>
        </w:rPr>
        <w:t>担施工职责的一方提供符合要求的业绩予以认可。</w:t>
      </w:r>
    </w:p>
    <w:p w14:paraId="72F6F630">
      <w:pPr>
        <w:widowControl w:val="0"/>
        <w:numPr>
          <w:ilvl w:val="0"/>
          <w:numId w:val="3"/>
        </w:numPr>
        <w:kinsoku/>
        <w:autoSpaceDE/>
        <w:autoSpaceDN/>
        <w:ind w:firstLine="462" w:firstLineChars="200"/>
        <w:jc w:val="both"/>
        <w:textAlignment w:val="auto"/>
        <w:rPr>
          <w:rFonts w:hint="eastAsia" w:ascii="宋体" w:hAnsi="宋体" w:eastAsia="宋体" w:cs="宋体"/>
          <w:b/>
          <w:snapToGrid/>
          <w:spacing w:val="-5"/>
          <w:sz w:val="24"/>
          <w:szCs w:val="24"/>
          <w:lang w:eastAsia="zh-CN"/>
        </w:rPr>
      </w:pPr>
      <w:r>
        <w:rPr>
          <w:rFonts w:hint="eastAsia" w:ascii="宋体" w:hAnsi="宋体" w:eastAsia="宋体" w:cs="宋体"/>
          <w:b/>
          <w:snapToGrid/>
          <w:spacing w:val="-5"/>
          <w:sz w:val="24"/>
          <w:szCs w:val="24"/>
          <w:lang w:eastAsia="zh-CN"/>
        </w:rPr>
        <w:t>是否接受联合体：</w:t>
      </w:r>
    </w:p>
    <w:p w14:paraId="074F8FF1">
      <w:pPr>
        <w:widowControl w:val="0"/>
        <w:kinsoku/>
        <w:autoSpaceDE/>
        <w:autoSpaceDN/>
        <w:ind w:firstLine="460" w:firstLineChars="200"/>
        <w:jc w:val="both"/>
        <w:textAlignment w:val="auto"/>
        <w:rPr>
          <w:rFonts w:hint="eastAsia" w:ascii="宋体" w:hAnsi="宋体" w:eastAsia="宋体" w:cs="宋体"/>
          <w:bCs/>
          <w:snapToGrid/>
          <w:spacing w:val="-5"/>
          <w:sz w:val="24"/>
          <w:szCs w:val="24"/>
          <w:lang w:eastAsia="zh-CN"/>
        </w:rPr>
      </w:pPr>
      <w:r>
        <w:rPr>
          <w:rFonts w:hint="eastAsia" w:ascii="宋体" w:hAnsi="宋体" w:eastAsia="宋体" w:cs="宋体"/>
          <w:bCs/>
          <w:snapToGrid/>
          <w:spacing w:val="-5"/>
          <w:sz w:val="24"/>
          <w:szCs w:val="24"/>
          <w:lang w:eastAsia="zh-CN"/>
        </w:rPr>
        <w:t>（1）本项目接受联合体投标，联合体成员总数不得超过3家，需明确分工分别承担设计、施工工作；</w:t>
      </w:r>
    </w:p>
    <w:p w14:paraId="1251D7D0">
      <w:pPr>
        <w:widowControl w:val="0"/>
        <w:kinsoku/>
        <w:autoSpaceDE/>
        <w:autoSpaceDN/>
        <w:ind w:firstLine="460" w:firstLineChars="200"/>
        <w:jc w:val="both"/>
        <w:textAlignment w:val="auto"/>
        <w:rPr>
          <w:rFonts w:hint="eastAsia" w:ascii="宋体" w:hAnsi="宋体" w:eastAsia="宋体" w:cs="宋体"/>
          <w:bCs/>
          <w:snapToGrid/>
          <w:spacing w:val="-5"/>
          <w:sz w:val="24"/>
          <w:szCs w:val="24"/>
          <w:lang w:eastAsia="zh-CN"/>
        </w:rPr>
      </w:pPr>
      <w:r>
        <w:rPr>
          <w:rFonts w:hint="eastAsia" w:ascii="宋体" w:hAnsi="宋体" w:eastAsia="宋体" w:cs="宋体"/>
          <w:bCs/>
          <w:snapToGrid/>
          <w:spacing w:val="-5"/>
          <w:sz w:val="24"/>
          <w:szCs w:val="24"/>
          <w:lang w:eastAsia="zh-CN"/>
        </w:rPr>
        <w:t>（2）联合体牵头人须为承担施工工作的单位；</w:t>
      </w:r>
    </w:p>
    <w:p w14:paraId="68D0F012">
      <w:pPr>
        <w:widowControl w:val="0"/>
        <w:kinsoku/>
        <w:autoSpaceDE/>
        <w:autoSpaceDN/>
        <w:ind w:firstLine="460" w:firstLineChars="200"/>
        <w:jc w:val="both"/>
        <w:textAlignment w:val="auto"/>
        <w:rPr>
          <w:rFonts w:hint="eastAsia" w:ascii="宋体" w:hAnsi="宋体" w:eastAsia="宋体" w:cs="宋体"/>
          <w:bCs/>
          <w:snapToGrid/>
          <w:spacing w:val="-5"/>
          <w:sz w:val="24"/>
          <w:szCs w:val="24"/>
          <w:lang w:eastAsia="zh-CN"/>
        </w:rPr>
      </w:pPr>
      <w:r>
        <w:rPr>
          <w:rFonts w:hint="eastAsia" w:ascii="宋体" w:hAnsi="宋体" w:eastAsia="宋体" w:cs="宋体"/>
          <w:bCs/>
          <w:snapToGrid/>
          <w:spacing w:val="-5"/>
          <w:sz w:val="24"/>
          <w:szCs w:val="24"/>
          <w:lang w:eastAsia="zh-CN"/>
        </w:rPr>
        <w:t>（3）联合体各成员须签订合法有效的《联合体协议书》，明确牵头人及各方的权利、义务、职责分工；联合体成员职责须与设计、施工二类工作一一对应；</w:t>
      </w:r>
    </w:p>
    <w:p w14:paraId="3296D482">
      <w:pPr>
        <w:widowControl w:val="0"/>
        <w:kinsoku/>
        <w:autoSpaceDE/>
        <w:autoSpaceDN/>
        <w:ind w:firstLine="460" w:firstLineChars="200"/>
        <w:jc w:val="both"/>
        <w:textAlignment w:val="auto"/>
        <w:rPr>
          <w:rFonts w:hint="eastAsia" w:ascii="宋体" w:hAnsi="宋体" w:eastAsia="宋体" w:cs="宋体"/>
          <w:bCs/>
          <w:snapToGrid/>
          <w:spacing w:val="-5"/>
          <w:sz w:val="24"/>
          <w:szCs w:val="24"/>
          <w:lang w:eastAsia="zh-CN"/>
        </w:rPr>
      </w:pPr>
      <w:r>
        <w:rPr>
          <w:rFonts w:hint="eastAsia" w:ascii="宋体" w:hAnsi="宋体" w:eastAsia="宋体" w:cs="宋体"/>
          <w:bCs/>
          <w:snapToGrid/>
          <w:spacing w:val="-5"/>
          <w:sz w:val="24"/>
          <w:szCs w:val="24"/>
          <w:lang w:eastAsia="zh-CN"/>
        </w:rPr>
        <w:t>（4）联合体各成员需分别满足本项目对应的资质要求（设计成员满足设计资质、施工成员满足施工资质），且联合体整体仅能以一个投标人身份参与投标；</w:t>
      </w:r>
    </w:p>
    <w:p w14:paraId="5F633D44">
      <w:pPr>
        <w:widowControl w:val="0"/>
        <w:kinsoku/>
        <w:autoSpaceDE/>
        <w:autoSpaceDN/>
        <w:ind w:firstLine="46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pacing w:val="-5"/>
          <w:sz w:val="24"/>
          <w:szCs w:val="24"/>
          <w:lang w:eastAsia="zh-CN"/>
        </w:rPr>
        <w:t>（5）联合体各方应当共同与建设单位签订EPC总承包合同。</w:t>
      </w:r>
    </w:p>
    <w:p w14:paraId="7D3242D3">
      <w:pPr>
        <w:widowControl w:val="0"/>
        <w:kinsoku/>
        <w:autoSpaceDE/>
        <w:autoSpaceDN/>
        <w:ind w:left="4" w:firstLine="482"/>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1"/>
          <w:sz w:val="24"/>
          <w:szCs w:val="24"/>
          <w:lang w:eastAsia="zh-CN"/>
        </w:rPr>
        <w:t>5、投标人应满足的信誉要求：</w:t>
      </w:r>
      <w:r>
        <w:rPr>
          <w:rFonts w:hint="eastAsia" w:ascii="宋体" w:hAnsi="宋体" w:eastAsia="宋体" w:cs="宋体"/>
          <w:snapToGrid/>
          <w:spacing w:val="1"/>
          <w:sz w:val="24"/>
          <w:szCs w:val="24"/>
          <w:lang w:eastAsia="zh-CN"/>
        </w:rPr>
        <w:t>投标人未被六安市及其所辖县、区公共资源</w:t>
      </w:r>
      <w:r>
        <w:rPr>
          <w:rFonts w:hint="eastAsia" w:ascii="宋体" w:hAnsi="宋体" w:eastAsia="宋体" w:cs="宋体"/>
          <w:snapToGrid/>
          <w:spacing w:val="2"/>
          <w:sz w:val="24"/>
          <w:szCs w:val="24"/>
          <w:lang w:eastAsia="zh-CN"/>
        </w:rPr>
        <w:t>交易监督管理部门记不良行为记录的；或被记不良行</w:t>
      </w:r>
      <w:r>
        <w:rPr>
          <w:rFonts w:hint="eastAsia" w:ascii="宋体" w:hAnsi="宋体" w:eastAsia="宋体" w:cs="宋体"/>
          <w:snapToGrid/>
          <w:spacing w:val="1"/>
          <w:sz w:val="24"/>
          <w:szCs w:val="24"/>
          <w:lang w:eastAsia="zh-CN"/>
        </w:rPr>
        <w:t>为记录（以公布日期为准）</w:t>
      </w:r>
      <w:r>
        <w:rPr>
          <w:rFonts w:hint="eastAsia" w:ascii="宋体" w:hAnsi="宋体" w:eastAsia="宋体" w:cs="宋体"/>
          <w:snapToGrid/>
          <w:spacing w:val="4"/>
          <w:sz w:val="24"/>
          <w:szCs w:val="24"/>
          <w:lang w:eastAsia="zh-CN"/>
        </w:rPr>
        <w:t>,但同时符合下列情形的：</w:t>
      </w:r>
    </w:p>
    <w:p w14:paraId="0C3A92CA">
      <w:pPr>
        <w:widowControl w:val="0"/>
        <w:kinsoku/>
        <w:autoSpaceDE/>
        <w:autoSpaceDN/>
        <w:ind w:left="486"/>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（1）开标日前（含当日）6个月内记分累计未满10分的；</w:t>
      </w:r>
    </w:p>
    <w:p w14:paraId="3E1E05DB">
      <w:pPr>
        <w:widowControl w:val="0"/>
        <w:kinsoku/>
        <w:autoSpaceDE/>
        <w:autoSpaceDN/>
        <w:ind w:left="486"/>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（2）开标日前（含当日）12个月内记分累计未满15分的；</w:t>
      </w:r>
    </w:p>
    <w:p w14:paraId="20D37E6C">
      <w:pPr>
        <w:widowControl w:val="0"/>
        <w:kinsoku/>
        <w:autoSpaceDE/>
        <w:autoSpaceDN/>
        <w:ind w:left="486"/>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（3）开标日前（含当日）18个月内记分累计未满20分的；</w:t>
      </w:r>
    </w:p>
    <w:p w14:paraId="6CA5C33B">
      <w:pPr>
        <w:widowControl w:val="0"/>
        <w:kinsoku/>
        <w:autoSpaceDE/>
        <w:autoSpaceDN/>
        <w:ind w:left="486"/>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（4）开标日前（含当日）24个月内记分累计未满25分的。</w:t>
      </w:r>
    </w:p>
    <w:p w14:paraId="2E3FB202">
      <w:pPr>
        <w:rPr>
          <w:rFonts w:hint="eastAsia" w:ascii="宋体" w:hAnsi="宋体" w:eastAsia="宋体" w:cs="宋体"/>
          <w:color w:val="auto"/>
          <w:sz w:val="24"/>
          <w:szCs w:val="24"/>
          <w:lang w:eastAsia="zh-CN"/>
        </w:rPr>
      </w:pPr>
      <w:r>
        <w:rPr>
          <w:rFonts w:hint="eastAsia" w:ascii="宋体" w:hAnsi="宋体" w:eastAsia="宋体" w:cs="宋体"/>
          <w:b/>
          <w:snapToGrid/>
          <w:spacing w:val="-7"/>
          <w:sz w:val="24"/>
          <w:szCs w:val="24"/>
          <w:lang w:eastAsia="zh-CN"/>
        </w:rPr>
        <w:t>十二、招标范围：</w:t>
      </w:r>
      <w:r>
        <w:rPr>
          <w:rFonts w:hint="eastAsia" w:ascii="宋体" w:hAnsi="宋体" w:eastAsia="宋体" w:cs="宋体"/>
          <w:color w:val="auto"/>
          <w:sz w:val="24"/>
          <w:szCs w:val="24"/>
          <w:lang w:eastAsia="zh-CN"/>
        </w:rPr>
        <w:t>本项目招标范围包括但不限于以下内容：</w:t>
      </w:r>
    </w:p>
    <w:p w14:paraId="5C9CCF11">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（1）设计范围：本项目规划范围内的岩土地质勘察、</w:t>
      </w:r>
      <w:r>
        <w:rPr>
          <w:rFonts w:hint="eastAsia" w:ascii="宋体" w:hAnsi="宋体" w:eastAsia="宋体" w:cs="宋体"/>
          <w:color w:val="auto"/>
          <w:sz w:val="24"/>
          <w:szCs w:val="24"/>
          <w:lang w:val="en-US" w:eastAsia="zh-CN"/>
        </w:rPr>
        <w:t>污水管网排查及管网病害检测、</w:t>
      </w:r>
      <w:r>
        <w:rPr>
          <w:rFonts w:hint="eastAsia" w:ascii="宋体" w:hAnsi="宋体" w:eastAsia="宋体" w:cs="宋体"/>
          <w:color w:val="auto"/>
          <w:sz w:val="24"/>
          <w:szCs w:val="24"/>
          <w:lang w:eastAsia="zh-CN"/>
        </w:rPr>
        <w:t>施工图设计（含图纸审查）及涉及的其他专项设计。设计内容包含所有与该项目有关的设计内容。最终设计成果须符合初步设计要求，并最终通过各部门专项审核（包含但不限于消防、绿建评审、施工审图等）。招标人不保证最小的设计面积，后期如因规划或甲方下达的设计任务书等原因导致设计面积变化的，风险由投标人自行考虑。</w:t>
      </w:r>
    </w:p>
    <w:p w14:paraId="06C09EF0">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（2）施工范围：①生态湿地建设工程：在新河入汲河口、孙桥堰沟入汲河口、郭圩大沟入城东湖河口、孟集镇南侧排水渠入城东湖河口、大庄东侧沟渠入城东湖口处共构建5处生态净化湿地；②</w:t>
      </w:r>
      <w:r>
        <w:rPr>
          <w:rFonts w:hint="eastAsia" w:ascii="宋体" w:hAnsi="宋体" w:eastAsia="宋体" w:cs="宋体"/>
          <w:color w:val="auto"/>
          <w:sz w:val="24"/>
          <w:szCs w:val="24"/>
          <w:lang w:val="en-US" w:eastAsia="zh-CN"/>
        </w:rPr>
        <w:t>缓冲带（</w:t>
      </w:r>
      <w:r>
        <w:rPr>
          <w:rFonts w:hint="eastAsia" w:ascii="宋体" w:hAnsi="宋体" w:eastAsia="宋体" w:cs="宋体"/>
          <w:color w:val="auto"/>
          <w:sz w:val="24"/>
          <w:szCs w:val="24"/>
          <w:lang w:eastAsia="zh-CN"/>
        </w:rPr>
        <w:t>沟渠）建设工程：结合现场实际条件，对新河、孙桥堰沟、汲东干渠连通沟等15条沟渠进行生态化改造；③截污纳管建设工程：在夏店镇砖洪村和孟集镇新建污水收集管道，扩建200m³/d污水处理设施1座。</w:t>
      </w:r>
    </w:p>
    <w:p w14:paraId="269E15E9">
      <w:pPr>
        <w:ind w:firstLine="480" w:firstLineChars="200"/>
        <w:rPr>
          <w:color w:val="auto"/>
          <w:sz w:val="24"/>
          <w:szCs w:val="24"/>
          <w:lang w:eastAsia="zh-CN"/>
        </w:rPr>
      </w:pPr>
      <w:r>
        <w:rPr>
          <w:rFonts w:hint="eastAsia" w:ascii="宋体" w:hAnsi="宋体" w:eastAsia="宋体" w:cs="宋体"/>
          <w:color w:val="auto"/>
          <w:sz w:val="24"/>
          <w:szCs w:val="24"/>
          <w:lang w:eastAsia="zh-CN"/>
        </w:rPr>
        <w:t>（3）本项目采用EPC建设模式，包括项目的施工图设计审查；设备和材料采购、工程施工及竣工验收、移交、备案和工程缺陷责任期及设备质保期的缺陷修复、保修服务、绩效考评等，并对工程项目进行质量、安全、进度、造价、合同、信息、档案等管理和控制；配合建设单位办理工程建设相关手续及绩效考评等其他内容；具体详见招标文件。</w:t>
      </w:r>
    </w:p>
    <w:p w14:paraId="19BB5261">
      <w:pPr>
        <w:widowControl w:val="0"/>
        <w:kinsoku/>
        <w:autoSpaceDE/>
        <w:autoSpaceDN/>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2"/>
          <w:sz w:val="24"/>
          <w:szCs w:val="24"/>
          <w:lang w:eastAsia="zh-CN"/>
        </w:rPr>
        <w:t>十三、标段数：</w:t>
      </w:r>
      <w:r>
        <w:rPr>
          <w:rFonts w:hint="eastAsia" w:ascii="宋体" w:hAnsi="宋体" w:eastAsia="宋体" w:cs="宋体"/>
          <w:snapToGrid/>
          <w:spacing w:val="-2"/>
          <w:sz w:val="24"/>
          <w:szCs w:val="24"/>
          <w:lang w:eastAsia="zh-CN"/>
        </w:rPr>
        <w:t>1个</w:t>
      </w:r>
    </w:p>
    <w:p w14:paraId="425418B2">
      <w:pPr>
        <w:widowControl w:val="0"/>
        <w:kinsoku/>
        <w:autoSpaceDE/>
        <w:autoSpaceDN/>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2"/>
          <w:sz w:val="24"/>
          <w:szCs w:val="24"/>
          <w:lang w:eastAsia="zh-CN"/>
        </w:rPr>
        <w:t>十四、公告发布时间：</w:t>
      </w:r>
      <w:r>
        <w:rPr>
          <w:rFonts w:hint="eastAsia" w:ascii="宋体" w:hAnsi="宋体" w:eastAsia="宋体" w:cs="宋体"/>
          <w:snapToGrid/>
          <w:spacing w:val="-2"/>
          <w:sz w:val="24"/>
          <w:szCs w:val="24"/>
          <w:lang w:eastAsia="zh-CN"/>
        </w:rPr>
        <w:t>2026年月日</w:t>
      </w:r>
    </w:p>
    <w:p w14:paraId="2F444D1E">
      <w:pPr>
        <w:widowControl w:val="0"/>
        <w:kinsoku/>
        <w:autoSpaceDE/>
        <w:autoSpaceDN/>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6"/>
          <w:sz w:val="24"/>
          <w:szCs w:val="24"/>
          <w:lang w:eastAsia="zh-CN"/>
        </w:rPr>
        <w:t>十五、公告发布媒介：</w:t>
      </w:r>
    </w:p>
    <w:p w14:paraId="6A4F3350">
      <w:pPr>
        <w:widowControl w:val="0"/>
        <w:kinsoku/>
        <w:autoSpaceDE/>
        <w:autoSpaceDN/>
        <w:ind w:left="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六安市公共资源交易电子服务系统（</w:t>
      </w:r>
      <w:r>
        <w:fldChar w:fldCharType="begin"/>
      </w:r>
      <w:r>
        <w:instrText xml:space="preserve">HYPERLINK "file:///C:\\Users\\BHC\\xwechat_files\\wxid_t60v0qpn2rz922_def9\\msg\\file\\2026-04\\http：\\ggzy.luan.gov.cn"</w:instrText>
      </w:r>
      <w:r>
        <w:fldChar w:fldCharType="separate"/>
      </w:r>
      <w:r>
        <w:rPr>
          <w:rFonts w:ascii="Times New Roman" w:hAnsi="Times New Roman" w:eastAsia="Times New Roman" w:cs="Times New Roman"/>
          <w:snapToGrid/>
          <w:sz w:val="24"/>
          <w:szCs w:val="24"/>
          <w:lang w:eastAsia="zh-CN"/>
        </w:rPr>
        <w:t>http</w:t>
      </w:r>
      <w:r>
        <w:rPr>
          <w:rFonts w:hint="eastAsia" w:ascii="宋体" w:hAnsi="宋体" w:eastAsia="宋体" w:cs="宋体"/>
          <w:snapToGrid/>
          <w:sz w:val="24"/>
          <w:szCs w:val="24"/>
          <w:lang w:eastAsia="zh-CN"/>
        </w:rPr>
        <w:t>：</w:t>
      </w:r>
      <w:r>
        <w:rPr>
          <w:rFonts w:ascii="Times New Roman" w:hAnsi="Times New Roman" w:eastAsia="Times New Roman" w:cs="Times New Roman"/>
          <w:snapToGrid/>
          <w:sz w:val="24"/>
          <w:szCs w:val="24"/>
          <w:lang w:eastAsia="zh-CN"/>
        </w:rPr>
        <w:t>//gg</w:t>
      </w:r>
      <w:r>
        <w:rPr>
          <w:rFonts w:ascii="Times New Roman" w:hAnsi="Times New Roman" w:eastAsia="Times New Roman" w:cs="Times New Roman"/>
          <w:snapToGrid/>
          <w:spacing w:val="-1"/>
          <w:sz w:val="24"/>
          <w:szCs w:val="24"/>
          <w:lang w:eastAsia="zh-CN"/>
        </w:rPr>
        <w:t>zy.luan.gov.cn</w:t>
      </w:r>
      <w:r>
        <w:fldChar w:fldCharType="end"/>
      </w:r>
      <w:r>
        <w:rPr>
          <w:rFonts w:hint="eastAsia" w:ascii="宋体" w:hAnsi="宋体" w:eastAsia="宋体" w:cs="宋体"/>
          <w:snapToGrid/>
          <w:spacing w:val="-1"/>
          <w:sz w:val="24"/>
          <w:szCs w:val="24"/>
          <w:lang w:eastAsia="zh-CN"/>
        </w:rPr>
        <w:t>）</w:t>
      </w:r>
    </w:p>
    <w:p w14:paraId="7B7085D6">
      <w:pPr>
        <w:widowControl w:val="0"/>
        <w:kinsoku/>
        <w:autoSpaceDE/>
        <w:autoSpaceDN/>
        <w:ind w:left="4"/>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安徽省公共资源交易监管网（</w:t>
      </w:r>
      <w:r>
        <w:fldChar w:fldCharType="begin"/>
      </w:r>
      <w:r>
        <w:instrText xml:space="preserve">HYPERLINK "file:///C:\\Users\\BHC\\xwechat_files\\wxid_t60v0qpn2rz922_def9\\msg\\file\\2026-04\\http：\\ggzy.ah.gov.cn"</w:instrText>
      </w:r>
      <w:r>
        <w:fldChar w:fldCharType="separate"/>
      </w:r>
      <w:r>
        <w:rPr>
          <w:rFonts w:ascii="Times New Roman" w:hAnsi="Times New Roman" w:eastAsia="Times New Roman" w:cs="Times New Roman"/>
          <w:snapToGrid/>
          <w:spacing w:val="-1"/>
          <w:sz w:val="24"/>
          <w:szCs w:val="24"/>
          <w:lang w:eastAsia="zh-CN"/>
        </w:rPr>
        <w:t>http</w:t>
      </w:r>
      <w:r>
        <w:rPr>
          <w:rFonts w:hint="eastAsia" w:ascii="宋体" w:hAnsi="宋体" w:eastAsia="宋体" w:cs="宋体"/>
          <w:snapToGrid/>
          <w:spacing w:val="-1"/>
          <w:sz w:val="24"/>
          <w:szCs w:val="24"/>
          <w:lang w:eastAsia="zh-CN"/>
        </w:rPr>
        <w:t>：</w:t>
      </w:r>
      <w:r>
        <w:rPr>
          <w:rFonts w:ascii="Times New Roman" w:hAnsi="Times New Roman" w:eastAsia="Times New Roman" w:cs="Times New Roman"/>
          <w:snapToGrid/>
          <w:spacing w:val="-1"/>
          <w:sz w:val="24"/>
          <w:szCs w:val="24"/>
          <w:lang w:eastAsia="zh-CN"/>
        </w:rPr>
        <w:t>//ggzy.ah.gov.cn</w:t>
      </w:r>
      <w:r>
        <w:fldChar w:fldCharType="end"/>
      </w:r>
      <w:r>
        <w:rPr>
          <w:rFonts w:hint="eastAsia" w:ascii="宋体" w:hAnsi="宋体" w:eastAsia="宋体" w:cs="宋体"/>
          <w:snapToGrid/>
          <w:spacing w:val="-1"/>
          <w:sz w:val="24"/>
          <w:szCs w:val="24"/>
          <w:lang w:eastAsia="zh-CN"/>
        </w:rPr>
        <w:t>）</w:t>
      </w:r>
    </w:p>
    <w:p w14:paraId="26CB53A9">
      <w:pPr>
        <w:widowControl w:val="0"/>
        <w:kinsoku/>
        <w:autoSpaceDE/>
        <w:autoSpaceDN/>
        <w:ind w:left="9"/>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安徽省招标投标信息网（</w:t>
      </w:r>
      <w:r>
        <w:fldChar w:fldCharType="begin"/>
      </w:r>
      <w:r>
        <w:instrText xml:space="preserve">HYPERLINK "file:///C:\\Users\\BHC\\xwechat_files\\wxid_t60v0qpn2rz922_def9\\msg\\file\\2026-04\\http：\\www.ahtba.org.cn"</w:instrText>
      </w:r>
      <w:r>
        <w:fldChar w:fldCharType="separate"/>
      </w:r>
      <w:r>
        <w:rPr>
          <w:rFonts w:ascii="Times New Roman" w:hAnsi="Times New Roman" w:eastAsia="Times New Roman" w:cs="Times New Roman"/>
          <w:snapToGrid/>
          <w:spacing w:val="-1"/>
          <w:sz w:val="24"/>
          <w:szCs w:val="24"/>
          <w:lang w:eastAsia="zh-CN"/>
        </w:rPr>
        <w:t>http</w:t>
      </w:r>
      <w:r>
        <w:rPr>
          <w:rFonts w:hint="eastAsia" w:ascii="宋体" w:hAnsi="宋体" w:eastAsia="宋体" w:cs="宋体"/>
          <w:snapToGrid/>
          <w:spacing w:val="-1"/>
          <w:sz w:val="24"/>
          <w:szCs w:val="24"/>
          <w:lang w:eastAsia="zh-CN"/>
        </w:rPr>
        <w:t>：</w:t>
      </w:r>
      <w:r>
        <w:rPr>
          <w:rFonts w:ascii="Times New Roman" w:hAnsi="Times New Roman" w:eastAsia="Times New Roman" w:cs="Times New Roman"/>
          <w:snapToGrid/>
          <w:spacing w:val="-1"/>
          <w:sz w:val="24"/>
          <w:szCs w:val="24"/>
          <w:lang w:eastAsia="zh-CN"/>
        </w:rPr>
        <w:t>//www.ahtba.org.cn</w:t>
      </w:r>
      <w:r>
        <w:fldChar w:fldCharType="end"/>
      </w:r>
      <w:r>
        <w:rPr>
          <w:rFonts w:hint="eastAsia" w:ascii="宋体" w:hAnsi="宋体" w:eastAsia="宋体" w:cs="宋体"/>
          <w:snapToGrid/>
          <w:spacing w:val="-1"/>
          <w:sz w:val="24"/>
          <w:szCs w:val="24"/>
          <w:lang w:eastAsia="zh-CN"/>
        </w:rPr>
        <w:t>）</w:t>
      </w:r>
    </w:p>
    <w:p w14:paraId="61554A0B">
      <w:pPr>
        <w:widowControl w:val="0"/>
        <w:kinsoku/>
        <w:autoSpaceDE/>
        <w:autoSpaceDN/>
        <w:ind w:left="4"/>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全国公共资源交易平台（</w:t>
      </w:r>
      <w:r>
        <w:fldChar w:fldCharType="begin"/>
      </w:r>
      <w:r>
        <w:instrText xml:space="preserve">HYPERLINK "file:///C:\\Users\\BHC\\xwechat_files\\wxid_t60v0qpn2rz922_def9\\msg\\file\\2026-04\\http：\\www.ggzy.gov.cn"</w:instrText>
      </w:r>
      <w:r>
        <w:fldChar w:fldCharType="separate"/>
      </w:r>
      <w:r>
        <w:rPr>
          <w:rFonts w:ascii="Times New Roman" w:hAnsi="Times New Roman" w:eastAsia="Times New Roman" w:cs="Times New Roman"/>
          <w:snapToGrid/>
          <w:sz w:val="24"/>
          <w:szCs w:val="24"/>
          <w:lang w:eastAsia="zh-CN"/>
        </w:rPr>
        <w:t>http</w:t>
      </w:r>
      <w:r>
        <w:rPr>
          <w:rFonts w:hint="eastAsia" w:ascii="宋体" w:hAnsi="宋体" w:eastAsia="宋体" w:cs="宋体"/>
          <w:snapToGrid/>
          <w:sz w:val="24"/>
          <w:szCs w:val="24"/>
          <w:lang w:eastAsia="zh-CN"/>
        </w:rPr>
        <w:t>：</w:t>
      </w:r>
      <w:r>
        <w:rPr>
          <w:rFonts w:ascii="Times New Roman" w:hAnsi="Times New Roman" w:eastAsia="Times New Roman" w:cs="Times New Roman"/>
          <w:snapToGrid/>
          <w:sz w:val="24"/>
          <w:szCs w:val="24"/>
          <w:lang w:eastAsia="zh-CN"/>
        </w:rPr>
        <w:t>//www</w:t>
      </w:r>
      <w:r>
        <w:rPr>
          <w:rFonts w:ascii="Times New Roman" w:hAnsi="Times New Roman" w:eastAsia="Times New Roman" w:cs="Times New Roman"/>
          <w:snapToGrid/>
          <w:spacing w:val="-1"/>
          <w:sz w:val="24"/>
          <w:szCs w:val="24"/>
          <w:lang w:eastAsia="zh-CN"/>
        </w:rPr>
        <w:t>.ggzy.gov.cn</w:t>
      </w:r>
      <w:r>
        <w:fldChar w:fldCharType="end"/>
      </w:r>
      <w:r>
        <w:rPr>
          <w:rFonts w:hint="eastAsia" w:ascii="宋体" w:hAnsi="宋体" w:eastAsia="宋体" w:cs="宋体"/>
          <w:snapToGrid/>
          <w:spacing w:val="-1"/>
          <w:sz w:val="24"/>
          <w:szCs w:val="24"/>
          <w:lang w:eastAsia="zh-CN"/>
        </w:rPr>
        <w:t>）</w:t>
      </w:r>
    </w:p>
    <w:p w14:paraId="2006650F">
      <w:pPr>
        <w:widowControl w:val="0"/>
        <w:kinsoku/>
        <w:autoSpaceDE/>
        <w:autoSpaceDN/>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5"/>
          <w:sz w:val="24"/>
          <w:szCs w:val="24"/>
          <w:lang w:eastAsia="zh-CN"/>
        </w:rPr>
        <w:t>十六、项目开标时间及地点：</w:t>
      </w:r>
    </w:p>
    <w:p w14:paraId="305FBADB">
      <w:pPr>
        <w:widowControl w:val="0"/>
        <w:kinsoku/>
        <w:autoSpaceDE/>
        <w:autoSpaceDN/>
        <w:ind w:left="497"/>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1、开标时间：2026年月日0</w:t>
      </w:r>
      <w:r>
        <w:rPr>
          <w:rFonts w:hint="eastAsia" w:ascii="宋体" w:hAnsi="宋体" w:eastAsia="宋体" w:cs="宋体"/>
          <w:snapToGrid/>
          <w:spacing w:val="-3"/>
          <w:sz w:val="24"/>
          <w:szCs w:val="24"/>
          <w:lang w:eastAsia="zh-CN"/>
        </w:rPr>
        <w:t>9时00分；</w:t>
      </w:r>
    </w:p>
    <w:p w14:paraId="63902532">
      <w:pPr>
        <w:widowControl w:val="0"/>
        <w:kinsoku/>
        <w:autoSpaceDE/>
        <w:autoSpaceDN/>
        <w:ind w:right="102" w:firstLine="48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2、开标地点：投标人登录六安市公共资源交易不见面开标系统参加开标活</w:t>
      </w:r>
      <w:r>
        <w:rPr>
          <w:rFonts w:hint="eastAsia" w:ascii="宋体" w:hAnsi="宋体" w:eastAsia="宋体" w:cs="宋体"/>
          <w:snapToGrid/>
          <w:spacing w:val="-1"/>
          <w:sz w:val="24"/>
          <w:szCs w:val="24"/>
          <w:lang w:eastAsia="zh-CN"/>
        </w:rPr>
        <w:t>动。招标人代表及代理机构工作人员在霍邱县公共资源交易中心不</w:t>
      </w:r>
      <w:r>
        <w:rPr>
          <w:rFonts w:hint="eastAsia" w:ascii="宋体" w:hAnsi="宋体" w:eastAsia="宋体" w:cs="宋体"/>
          <w:snapToGrid/>
          <w:spacing w:val="-2"/>
          <w:sz w:val="24"/>
          <w:szCs w:val="24"/>
          <w:lang w:eastAsia="zh-CN"/>
        </w:rPr>
        <w:t>见面</w:t>
      </w:r>
      <w:r>
        <w:rPr>
          <w:rFonts w:hint="eastAsia" w:ascii="宋体" w:hAnsi="宋体" w:eastAsia="宋体" w:cs="宋体"/>
          <w:snapToGrid/>
          <w:color w:val="auto"/>
          <w:spacing w:val="-2"/>
          <w:sz w:val="24"/>
          <w:szCs w:val="24"/>
          <w:highlight w:val="none"/>
          <w:lang w:eastAsia="zh-CN"/>
        </w:rPr>
        <w:t>开标厅</w:t>
      </w:r>
      <w:r>
        <w:rPr>
          <w:rFonts w:hint="eastAsia" w:ascii="宋体" w:hAnsi="宋体" w:eastAsia="宋体" w:cs="宋体"/>
          <w:snapToGrid/>
          <w:color w:val="auto"/>
          <w:spacing w:val="-6"/>
          <w:sz w:val="24"/>
          <w:szCs w:val="24"/>
          <w:highlight w:val="none"/>
          <w:lang w:eastAsia="zh-CN"/>
        </w:rPr>
        <w:t>组</w:t>
      </w:r>
      <w:r>
        <w:rPr>
          <w:rFonts w:hint="eastAsia" w:ascii="宋体" w:hAnsi="宋体" w:eastAsia="宋体" w:cs="宋体"/>
          <w:snapToGrid/>
          <w:spacing w:val="-6"/>
          <w:sz w:val="24"/>
          <w:szCs w:val="24"/>
          <w:lang w:eastAsia="zh-CN"/>
        </w:rPr>
        <w:t>织开标活动。</w:t>
      </w:r>
    </w:p>
    <w:p w14:paraId="2BEFCD80">
      <w:pPr>
        <w:widowControl w:val="0"/>
        <w:kinsoku/>
        <w:autoSpaceDE/>
        <w:autoSpaceDN/>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3"/>
          <w:sz w:val="24"/>
          <w:szCs w:val="24"/>
          <w:lang w:eastAsia="zh-CN"/>
        </w:rPr>
        <w:t>十七、招标文件获取及费用支付方式：</w:t>
      </w:r>
    </w:p>
    <w:p w14:paraId="29AB7547">
      <w:pPr>
        <w:widowControl w:val="0"/>
        <w:kinsoku/>
        <w:autoSpaceDE/>
        <w:autoSpaceDN/>
        <w:ind w:left="497"/>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1、获取时间：2026年月日至2026年月日时00分</w:t>
      </w:r>
    </w:p>
    <w:p w14:paraId="31BEED1A">
      <w:pPr>
        <w:widowControl w:val="0"/>
        <w:kinsoku/>
        <w:autoSpaceDE/>
        <w:autoSpaceDN/>
        <w:ind w:left="482"/>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2、费用支付：网上免费下载（含答疑澄清文件等）</w:t>
      </w:r>
    </w:p>
    <w:p w14:paraId="049ABCCA">
      <w:pPr>
        <w:widowControl w:val="0"/>
        <w:kinsoku/>
        <w:autoSpaceDE/>
        <w:autoSpaceDN/>
        <w:ind w:left="17"/>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2"/>
          <w:sz w:val="24"/>
          <w:szCs w:val="24"/>
          <w:lang w:eastAsia="zh-CN"/>
        </w:rPr>
        <w:t>十八、资格审查方式：</w:t>
      </w:r>
      <w:r>
        <w:rPr>
          <w:rFonts w:hint="eastAsia" w:ascii="宋体" w:hAnsi="宋体" w:eastAsia="宋体" w:cs="宋体"/>
          <w:snapToGrid/>
          <w:spacing w:val="-2"/>
          <w:sz w:val="24"/>
          <w:szCs w:val="24"/>
          <w:lang w:eastAsia="zh-CN"/>
        </w:rPr>
        <w:t>资格后审</w:t>
      </w:r>
    </w:p>
    <w:p w14:paraId="3F4949A8">
      <w:pPr>
        <w:widowControl w:val="0"/>
        <w:kinsoku/>
        <w:autoSpaceDE/>
        <w:autoSpaceDN/>
        <w:ind w:left="17"/>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2"/>
          <w:sz w:val="24"/>
          <w:szCs w:val="24"/>
          <w:lang w:eastAsia="zh-CN"/>
        </w:rPr>
        <w:t>十九、评标办法：</w:t>
      </w:r>
      <w:r>
        <w:rPr>
          <w:rFonts w:hint="eastAsia" w:ascii="宋体" w:hAnsi="宋体" w:eastAsia="宋体" w:cs="宋体"/>
          <w:snapToGrid/>
          <w:spacing w:val="-2"/>
          <w:sz w:val="24"/>
          <w:szCs w:val="24"/>
          <w:lang w:eastAsia="zh-CN"/>
        </w:rPr>
        <w:t>综合评估法</w:t>
      </w:r>
    </w:p>
    <w:p w14:paraId="799B7550">
      <w:pPr>
        <w:widowControl w:val="0"/>
        <w:kinsoku/>
        <w:autoSpaceDE/>
        <w:autoSpaceDN/>
        <w:ind w:left="20"/>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14"/>
          <w:sz w:val="24"/>
          <w:szCs w:val="24"/>
          <w:lang w:eastAsia="zh-CN"/>
        </w:rPr>
        <w:t>二十、备注：</w:t>
      </w:r>
    </w:p>
    <w:p w14:paraId="5BF0829C">
      <w:pPr>
        <w:widowControl w:val="0"/>
        <w:kinsoku/>
        <w:autoSpaceDE/>
        <w:autoSpaceDN/>
        <w:ind w:left="20" w:right="109" w:firstLine="493"/>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1、投标文件所报的项目经理、设计负责人</w:t>
      </w:r>
      <w:r>
        <w:rPr>
          <w:rFonts w:hint="eastAsia" w:ascii="宋体" w:hAnsi="宋体" w:eastAsia="宋体" w:cs="宋体"/>
          <w:snapToGrid/>
          <w:color w:val="auto"/>
          <w:spacing w:val="1"/>
          <w:sz w:val="24"/>
          <w:szCs w:val="24"/>
          <w:lang w:eastAsia="zh-CN"/>
        </w:rPr>
        <w:t>、技术负责人</w:t>
      </w:r>
      <w:r>
        <w:rPr>
          <w:rFonts w:hint="eastAsia" w:ascii="宋体" w:hAnsi="宋体" w:eastAsia="宋体" w:cs="宋体"/>
          <w:snapToGrid/>
          <w:spacing w:val="1"/>
          <w:sz w:val="24"/>
          <w:szCs w:val="24"/>
          <w:lang w:eastAsia="zh-CN"/>
        </w:rPr>
        <w:t>必</w:t>
      </w:r>
      <w:r>
        <w:rPr>
          <w:rFonts w:hint="eastAsia" w:ascii="宋体" w:hAnsi="宋体" w:eastAsia="宋体" w:cs="宋体"/>
          <w:snapToGrid/>
          <w:spacing w:val="-4"/>
          <w:sz w:val="24"/>
          <w:szCs w:val="24"/>
          <w:lang w:eastAsia="zh-CN"/>
        </w:rPr>
        <w:t>须是投标人本单位的人员。</w:t>
      </w:r>
    </w:p>
    <w:p w14:paraId="34CF80F3">
      <w:pPr>
        <w:widowControl w:val="0"/>
        <w:kinsoku/>
        <w:autoSpaceDE/>
        <w:autoSpaceDN/>
        <w:ind w:firstLine="499"/>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2、本项目采用不见面开标（网上解密）方式，投标人无需到开标现场进行</w:t>
      </w:r>
      <w:r>
        <w:rPr>
          <w:rFonts w:hint="eastAsia" w:ascii="宋体" w:hAnsi="宋体" w:eastAsia="宋体" w:cs="宋体"/>
          <w:snapToGrid/>
          <w:spacing w:val="-1"/>
          <w:sz w:val="24"/>
          <w:szCs w:val="24"/>
          <w:lang w:eastAsia="zh-CN"/>
        </w:rPr>
        <w:t>解密，采取远程解密方式解密投标文件。投标人在开标时间前使用CA数字证书登</w:t>
      </w:r>
      <w:r>
        <w:rPr>
          <w:rFonts w:hint="eastAsia" w:ascii="宋体" w:hAnsi="宋体" w:eastAsia="宋体" w:cs="宋体"/>
          <w:snapToGrid/>
          <w:spacing w:val="3"/>
          <w:sz w:val="24"/>
          <w:szCs w:val="24"/>
          <w:lang w:eastAsia="zh-CN"/>
        </w:rPr>
        <w:t>录“六安市公共资源交易不见面开标系统”,等待开标并</w:t>
      </w:r>
      <w:r>
        <w:rPr>
          <w:rFonts w:hint="eastAsia" w:ascii="宋体" w:hAnsi="宋体" w:eastAsia="宋体" w:cs="宋体"/>
          <w:snapToGrid/>
          <w:spacing w:val="2"/>
          <w:sz w:val="24"/>
          <w:szCs w:val="24"/>
          <w:lang w:eastAsia="zh-CN"/>
        </w:rPr>
        <w:t>按系统提示进行相应的投标人解密等事项，采用本方式可以观看开标现场音视</w:t>
      </w:r>
      <w:r>
        <w:rPr>
          <w:rFonts w:hint="eastAsia" w:ascii="宋体" w:hAnsi="宋体" w:eastAsia="宋体" w:cs="宋体"/>
          <w:snapToGrid/>
          <w:spacing w:val="1"/>
          <w:sz w:val="24"/>
          <w:szCs w:val="24"/>
          <w:lang w:eastAsia="zh-CN"/>
        </w:rPr>
        <w:t>频直播并进行互动交流。</w:t>
      </w:r>
      <w:r>
        <w:rPr>
          <w:rFonts w:hint="eastAsia" w:ascii="宋体" w:hAnsi="宋体" w:eastAsia="宋体" w:cs="宋体"/>
          <w:snapToGrid/>
          <w:spacing w:val="-1"/>
          <w:sz w:val="24"/>
          <w:szCs w:val="24"/>
          <w:lang w:eastAsia="zh-CN"/>
        </w:rPr>
        <w:t>具体操作方法见六安市公共资源交易中心网站“服务指引—交易微课堂”栏目中“六安市公共资源交易不见面开标系统操作手册（投标人）”。</w:t>
      </w:r>
    </w:p>
    <w:p w14:paraId="1792C1CC">
      <w:pPr>
        <w:widowControl w:val="0"/>
        <w:kinsoku/>
        <w:autoSpaceDE/>
        <w:autoSpaceDN/>
        <w:ind w:left="15" w:right="80" w:firstLine="479"/>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解密时间：解密程序开始后每个投标人均应在解密指令发出后30分钟</w:t>
      </w:r>
      <w:r>
        <w:rPr>
          <w:rFonts w:hint="eastAsia" w:ascii="宋体" w:hAnsi="宋体" w:eastAsia="宋体" w:cs="宋体"/>
          <w:snapToGrid/>
          <w:spacing w:val="-2"/>
          <w:sz w:val="24"/>
          <w:szCs w:val="24"/>
          <w:lang w:eastAsia="zh-CN"/>
        </w:rPr>
        <w:t>内完成</w:t>
      </w:r>
      <w:r>
        <w:rPr>
          <w:rFonts w:hint="eastAsia" w:ascii="宋体" w:hAnsi="宋体" w:eastAsia="宋体" w:cs="宋体"/>
          <w:snapToGrid/>
          <w:spacing w:val="-3"/>
          <w:sz w:val="24"/>
          <w:szCs w:val="24"/>
          <w:lang w:eastAsia="zh-CN"/>
        </w:rPr>
        <w:t>解密，否则投标文件将被拒绝。</w:t>
      </w:r>
    </w:p>
    <w:p w14:paraId="74216894">
      <w:pPr>
        <w:widowControl w:val="0"/>
        <w:kinsoku/>
        <w:autoSpaceDE/>
        <w:autoSpaceDN/>
        <w:ind w:left="36" w:right="81" w:firstLine="462"/>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6"/>
          <w:sz w:val="24"/>
          <w:szCs w:val="24"/>
          <w:lang w:eastAsia="zh-CN"/>
        </w:rPr>
        <w:t>参加本项目的投标人提前准备好电脑、耳麦等相</w:t>
      </w:r>
      <w:r>
        <w:rPr>
          <w:rFonts w:hint="eastAsia" w:ascii="宋体" w:hAnsi="宋体" w:eastAsia="宋体" w:cs="宋体"/>
          <w:snapToGrid/>
          <w:spacing w:val="-7"/>
          <w:sz w:val="24"/>
          <w:szCs w:val="24"/>
          <w:lang w:eastAsia="zh-CN"/>
        </w:rPr>
        <w:t>关设备，确保开标顺利进行</w:t>
      </w:r>
      <w:r>
        <w:rPr>
          <w:rFonts w:hint="eastAsia" w:ascii="宋体" w:hAnsi="宋体" w:eastAsia="宋体" w:cs="宋体"/>
          <w:snapToGrid/>
          <w:spacing w:val="2"/>
          <w:sz w:val="24"/>
          <w:szCs w:val="24"/>
          <w:lang w:eastAsia="zh-CN"/>
        </w:rPr>
        <w:t>,如因设备造成的问题由投标人自行负责。</w:t>
      </w:r>
    </w:p>
    <w:p w14:paraId="40B5DBD1">
      <w:pPr>
        <w:widowControl w:val="0"/>
        <w:kinsoku/>
        <w:autoSpaceDE/>
        <w:autoSpaceDN/>
        <w:ind w:right="81" w:firstLine="50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3、投标项目经理（建造师）不得在其他在</w:t>
      </w:r>
      <w:r>
        <w:rPr>
          <w:rFonts w:hint="eastAsia" w:ascii="宋体" w:hAnsi="宋体" w:eastAsia="宋体" w:cs="宋体"/>
          <w:snapToGrid/>
          <w:spacing w:val="1"/>
          <w:sz w:val="24"/>
          <w:szCs w:val="24"/>
          <w:lang w:eastAsia="zh-CN"/>
        </w:rPr>
        <w:t>建工程（含已中标的待建工程）</w:t>
      </w:r>
      <w:r>
        <w:rPr>
          <w:rFonts w:hint="eastAsia" w:ascii="宋体" w:hAnsi="宋体" w:eastAsia="宋体" w:cs="宋体"/>
          <w:snapToGrid/>
          <w:spacing w:val="-6"/>
          <w:sz w:val="24"/>
          <w:szCs w:val="24"/>
          <w:lang w:eastAsia="zh-CN"/>
        </w:rPr>
        <w:t>中担任项目经理、技术负责人、安全员、施工员、质量员。国有投资项目，均对</w:t>
      </w:r>
      <w:r>
        <w:rPr>
          <w:rFonts w:hint="eastAsia" w:ascii="宋体" w:hAnsi="宋体" w:eastAsia="宋体" w:cs="宋体"/>
          <w:snapToGrid/>
          <w:spacing w:val="-1"/>
          <w:sz w:val="24"/>
          <w:szCs w:val="24"/>
          <w:lang w:eastAsia="zh-CN"/>
        </w:rPr>
        <w:t>项目经理（建造师）、技术负责人、安全员、质量员、施工员自开工之日起采用</w:t>
      </w:r>
      <w:r>
        <w:rPr>
          <w:rFonts w:hint="eastAsia" w:ascii="宋体" w:hAnsi="宋体" w:eastAsia="宋体" w:cs="宋体"/>
          <w:snapToGrid/>
          <w:spacing w:val="-2"/>
          <w:sz w:val="24"/>
          <w:szCs w:val="24"/>
          <w:lang w:eastAsia="zh-CN"/>
        </w:rPr>
        <w:t>“IFA”（人脸识别）系统进行考勤、考核。</w:t>
      </w:r>
    </w:p>
    <w:p w14:paraId="1BBECA0D">
      <w:pPr>
        <w:widowControl w:val="0"/>
        <w:kinsoku/>
        <w:autoSpaceDE/>
        <w:autoSpaceDN/>
        <w:ind w:left="19" w:right="137" w:firstLine="476"/>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4、本项目实行投标保证金制度和履约保证金制度，投标保</w:t>
      </w:r>
      <w:r>
        <w:rPr>
          <w:rFonts w:hint="eastAsia" w:ascii="宋体" w:hAnsi="宋体" w:eastAsia="宋体" w:cs="宋体"/>
          <w:snapToGrid/>
          <w:sz w:val="24"/>
          <w:szCs w:val="24"/>
          <w:lang w:eastAsia="zh-CN"/>
        </w:rPr>
        <w:t>证金50万元整；</w:t>
      </w:r>
      <w:r>
        <w:rPr>
          <w:rFonts w:hint="eastAsia" w:ascii="宋体" w:hAnsi="宋体" w:eastAsia="宋体" w:cs="宋体"/>
          <w:snapToGrid/>
          <w:spacing w:val="-3"/>
          <w:sz w:val="24"/>
          <w:szCs w:val="24"/>
          <w:lang w:eastAsia="zh-CN"/>
        </w:rPr>
        <w:t>投标人中标后应缴纳履约保证金。</w:t>
      </w:r>
    </w:p>
    <w:p w14:paraId="015A287F">
      <w:pPr>
        <w:widowControl w:val="0"/>
        <w:kinsoku/>
        <w:autoSpaceDE/>
        <w:autoSpaceDN/>
        <w:ind w:left="17" w:right="103" w:firstLine="483"/>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5、本项目招标文件（</w:t>
      </w:r>
      <w:r>
        <w:rPr>
          <w:rFonts w:hint="eastAsia" w:ascii="宋体" w:hAnsi="宋体" w:eastAsia="宋体" w:cs="宋体"/>
          <w:snapToGrid/>
          <w:color w:val="auto"/>
          <w:spacing w:val="2"/>
          <w:sz w:val="24"/>
          <w:szCs w:val="24"/>
          <w:highlight w:val="none"/>
          <w:lang w:eastAsia="zh-CN"/>
        </w:rPr>
        <w:t>含初步设计及概算</w:t>
      </w:r>
      <w:r>
        <w:rPr>
          <w:rFonts w:hint="eastAsia" w:ascii="宋体" w:hAnsi="宋体" w:eastAsia="宋体" w:cs="宋体"/>
          <w:snapToGrid/>
          <w:spacing w:val="2"/>
          <w:sz w:val="24"/>
          <w:szCs w:val="24"/>
          <w:lang w:eastAsia="zh-CN"/>
        </w:rPr>
        <w:t>、答疑澄清文件等）均从</w:t>
      </w:r>
      <w:r>
        <w:rPr>
          <w:rFonts w:hint="eastAsia" w:ascii="宋体" w:hAnsi="宋体" w:eastAsia="宋体" w:cs="宋体"/>
          <w:snapToGrid/>
          <w:spacing w:val="1"/>
          <w:sz w:val="24"/>
          <w:szCs w:val="24"/>
          <w:lang w:eastAsia="zh-CN"/>
        </w:rPr>
        <w:t>六安市公共资源交易平台电</w:t>
      </w:r>
      <w:r>
        <w:rPr>
          <w:rFonts w:hint="eastAsia" w:ascii="宋体" w:hAnsi="宋体" w:eastAsia="宋体" w:cs="宋体"/>
          <w:snapToGrid/>
          <w:spacing w:val="-1"/>
          <w:sz w:val="24"/>
          <w:szCs w:val="24"/>
          <w:lang w:eastAsia="zh-CN"/>
        </w:rPr>
        <w:t>子服务系统（</w:t>
      </w:r>
      <w:r>
        <w:fldChar w:fldCharType="begin"/>
      </w:r>
      <w:r>
        <w:instrText xml:space="preserve"> HYPERLINK "file:///C:\\Users\\BHC\\xwechat_files\\wxid_t60v0qpn2rz922_def9\\msg\\file\\2026-04\\http：\\ggzy.luan.gov.cn" </w:instrText>
      </w:r>
      <w:r>
        <w:fldChar w:fldCharType="separate"/>
      </w:r>
      <w:r>
        <w:rPr>
          <w:rFonts w:hint="eastAsia" w:ascii="宋体" w:hAnsi="宋体" w:eastAsia="宋体" w:cs="宋体"/>
          <w:snapToGrid/>
          <w:spacing w:val="-1"/>
          <w:sz w:val="24"/>
          <w:szCs w:val="24"/>
          <w:lang w:eastAsia="zh-CN"/>
        </w:rPr>
        <w:t>http：//ggzy.luan.gov.cn</w:t>
      </w:r>
      <w:r>
        <w:rPr>
          <w:rFonts w:hint="eastAsia" w:ascii="宋体" w:hAnsi="宋体" w:eastAsia="宋体" w:cs="宋体"/>
          <w:snapToGrid/>
          <w:spacing w:val="-1"/>
          <w:sz w:val="24"/>
          <w:szCs w:val="24"/>
          <w:lang w:eastAsia="zh-CN"/>
        </w:rPr>
        <w:fldChar w:fldCharType="end"/>
      </w:r>
      <w:r>
        <w:rPr>
          <w:rFonts w:hint="eastAsia" w:ascii="宋体" w:hAnsi="宋体" w:eastAsia="宋体" w:cs="宋体"/>
          <w:snapToGrid/>
          <w:spacing w:val="-2"/>
          <w:sz w:val="24"/>
          <w:szCs w:val="24"/>
          <w:lang w:eastAsia="zh-CN"/>
        </w:rPr>
        <w:t>）下载。</w:t>
      </w:r>
    </w:p>
    <w:p w14:paraId="7AD04675">
      <w:pPr>
        <w:widowControl w:val="0"/>
        <w:kinsoku/>
        <w:autoSpaceDE/>
        <w:autoSpaceDN/>
        <w:ind w:left="19" w:right="80" w:firstLine="478"/>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6、投标人通过六安市公共资源电子交易系统提出疑问的截止时间为2026年</w:t>
      </w:r>
      <w:r>
        <w:rPr>
          <w:rFonts w:hint="eastAsia" w:ascii="宋体" w:hAnsi="宋体" w:eastAsia="宋体" w:cs="宋体"/>
          <w:snapToGrid/>
          <w:spacing w:val="-1"/>
          <w:sz w:val="24"/>
          <w:szCs w:val="24"/>
          <w:lang w:eastAsia="zh-CN"/>
        </w:rPr>
        <w:t>月日17时00分，招标人网上集中统一答疑时间为2026年月日，开标时间与投标文件递交截止时间为同一时间即2026年月日09时00分。</w:t>
      </w:r>
    </w:p>
    <w:p w14:paraId="232BEACC">
      <w:pPr>
        <w:widowControl w:val="0"/>
        <w:kinsoku/>
        <w:autoSpaceDE/>
        <w:autoSpaceDN/>
        <w:ind w:left="20" w:right="81" w:firstLine="48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7、按照中华人民共和国招标投标法实施条例第22条规定，投标人通过六安</w:t>
      </w:r>
      <w:r>
        <w:rPr>
          <w:rFonts w:hint="eastAsia" w:ascii="宋体" w:hAnsi="宋体" w:eastAsia="宋体" w:cs="宋体"/>
          <w:snapToGrid/>
          <w:spacing w:val="-1"/>
          <w:sz w:val="24"/>
          <w:szCs w:val="24"/>
          <w:lang w:eastAsia="zh-CN"/>
        </w:rPr>
        <w:t>市公共资源电子交易系统提出异议的截止时间为投标截止时间1</w:t>
      </w:r>
      <w:r>
        <w:rPr>
          <w:rFonts w:hint="eastAsia" w:ascii="宋体" w:hAnsi="宋体" w:eastAsia="宋体" w:cs="宋体"/>
          <w:snapToGrid/>
          <w:spacing w:val="-2"/>
          <w:sz w:val="24"/>
          <w:szCs w:val="24"/>
          <w:lang w:eastAsia="zh-CN"/>
        </w:rPr>
        <w:t>0日前。招标人自</w:t>
      </w:r>
      <w:r>
        <w:rPr>
          <w:rFonts w:hint="eastAsia" w:ascii="宋体" w:hAnsi="宋体" w:eastAsia="宋体" w:cs="宋体"/>
          <w:snapToGrid/>
          <w:spacing w:val="2"/>
          <w:sz w:val="24"/>
          <w:szCs w:val="24"/>
          <w:lang w:eastAsia="zh-CN"/>
        </w:rPr>
        <w:t>收到异议之日起3日内通过电子交易系统答复，所有潜在投标人在投标截止</w:t>
      </w:r>
      <w:r>
        <w:rPr>
          <w:rFonts w:hint="eastAsia" w:ascii="宋体" w:hAnsi="宋体" w:eastAsia="宋体" w:cs="宋体"/>
          <w:snapToGrid/>
          <w:spacing w:val="1"/>
          <w:sz w:val="24"/>
          <w:szCs w:val="24"/>
          <w:lang w:eastAsia="zh-CN"/>
        </w:rPr>
        <w:t>时间</w:t>
      </w:r>
      <w:r>
        <w:rPr>
          <w:rFonts w:hint="eastAsia" w:ascii="宋体" w:hAnsi="宋体" w:eastAsia="宋体" w:cs="宋体"/>
          <w:snapToGrid/>
          <w:spacing w:val="-1"/>
          <w:sz w:val="24"/>
          <w:szCs w:val="24"/>
          <w:lang w:eastAsia="zh-CN"/>
        </w:rPr>
        <w:t>前有义务自行查询，否则造成的一切后果由投标人自行承担。</w:t>
      </w:r>
      <w:r>
        <w:rPr>
          <w:rFonts w:hint="eastAsia" w:ascii="宋体" w:hAnsi="宋体" w:eastAsia="宋体" w:cs="宋体"/>
          <w:snapToGrid/>
          <w:spacing w:val="-2"/>
          <w:sz w:val="24"/>
          <w:szCs w:val="24"/>
          <w:lang w:eastAsia="zh-CN"/>
        </w:rPr>
        <w:t>在规定的提出异议的截止时间前投标人未对招标文件提出异议的，凡在评审过程中涉及的任何评审</w:t>
      </w:r>
      <w:r>
        <w:rPr>
          <w:rFonts w:hint="eastAsia" w:ascii="宋体" w:hAnsi="宋体" w:eastAsia="宋体" w:cs="宋体"/>
          <w:snapToGrid/>
          <w:spacing w:val="-3"/>
          <w:sz w:val="24"/>
          <w:szCs w:val="24"/>
          <w:lang w:eastAsia="zh-CN"/>
        </w:rPr>
        <w:t>争议均以招标人和招标代理机构解释为准。</w:t>
      </w:r>
    </w:p>
    <w:p w14:paraId="66DB4F87">
      <w:pPr>
        <w:widowControl w:val="0"/>
        <w:kinsoku/>
        <w:autoSpaceDE/>
        <w:autoSpaceDN/>
        <w:ind w:right="11" w:firstLine="48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8、有意向参与本项目投标的投标人，应在投标截止时间前自行在六安市公共资源电子交易系统（http://114.98.87.113:9016/TPBidder</w:t>
      </w:r>
      <w:r>
        <w:rPr>
          <w:rFonts w:hint="eastAsia" w:ascii="宋体" w:hAnsi="宋体" w:eastAsia="宋体" w:cs="宋体"/>
          <w:snapToGrid/>
          <w:spacing w:val="1"/>
          <w:sz w:val="24"/>
          <w:szCs w:val="24"/>
          <w:lang w:eastAsia="zh-CN"/>
        </w:rPr>
        <w:t>）下载招标公</w:t>
      </w:r>
      <w:r>
        <w:rPr>
          <w:rFonts w:hint="eastAsia" w:ascii="宋体" w:hAnsi="宋体" w:eastAsia="宋体" w:cs="宋体"/>
          <w:snapToGrid/>
          <w:spacing w:val="-3"/>
          <w:sz w:val="24"/>
          <w:szCs w:val="24"/>
          <w:lang w:eastAsia="zh-CN"/>
        </w:rPr>
        <w:t>告、补充公告、招标文件和澄清文件等资料。</w:t>
      </w:r>
    </w:p>
    <w:p w14:paraId="0686C976">
      <w:pPr>
        <w:widowControl w:val="0"/>
        <w:kinsoku/>
        <w:autoSpaceDE/>
        <w:autoSpaceDN/>
        <w:ind w:right="1" w:firstLine="48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9、投标人自行在安徽省公共资源交易市场主体库中填报企业基本信息、企</w:t>
      </w:r>
      <w:r>
        <w:rPr>
          <w:rFonts w:hint="eastAsia" w:ascii="宋体" w:hAnsi="宋体" w:eastAsia="宋体" w:cs="宋体"/>
          <w:snapToGrid/>
          <w:spacing w:val="-1"/>
          <w:sz w:val="24"/>
          <w:szCs w:val="24"/>
          <w:lang w:eastAsia="zh-CN"/>
        </w:rPr>
        <w:t>业和项目经理业绩、企业和项目经理获奖等相关信息。投标人自行更新</w:t>
      </w:r>
      <w:r>
        <w:rPr>
          <w:rFonts w:hint="eastAsia" w:ascii="宋体" w:hAnsi="宋体" w:eastAsia="宋体" w:cs="宋体"/>
          <w:snapToGrid/>
          <w:spacing w:val="-2"/>
          <w:sz w:val="24"/>
          <w:szCs w:val="24"/>
          <w:lang w:eastAsia="zh-CN"/>
        </w:rPr>
        <w:t>、维护本单位信息。以上所有信息的真实性、准确性和完整性由投标人负责。</w:t>
      </w:r>
    </w:p>
    <w:p w14:paraId="7BEB580E">
      <w:pPr>
        <w:widowControl w:val="0"/>
        <w:kinsoku/>
        <w:autoSpaceDE/>
        <w:autoSpaceDN/>
        <w:ind w:right="1" w:firstLine="452" w:firstLineChars="200"/>
        <w:jc w:val="both"/>
        <w:textAlignment w:val="auto"/>
        <w:rPr>
          <w:rFonts w:hint="eastAsia" w:ascii="宋体" w:hAnsi="宋体" w:eastAsia="宋体" w:cs="宋体"/>
          <w:snapToGrid/>
          <w:spacing w:val="-7"/>
          <w:sz w:val="24"/>
          <w:szCs w:val="24"/>
          <w:lang w:eastAsia="zh-CN"/>
        </w:rPr>
      </w:pPr>
      <w:r>
        <w:rPr>
          <w:rFonts w:hint="eastAsia" w:ascii="宋体" w:hAnsi="宋体" w:eastAsia="宋体" w:cs="宋体"/>
          <w:snapToGrid/>
          <w:spacing w:val="-7"/>
          <w:sz w:val="24"/>
          <w:szCs w:val="24"/>
          <w:lang w:eastAsia="zh-CN"/>
        </w:rPr>
        <w:t>安徽省公共资源交易市场主体库注册联系电话：010-86483801转5-2</w:t>
      </w:r>
    </w:p>
    <w:p w14:paraId="0E9E0707">
      <w:pPr>
        <w:widowControl w:val="0"/>
        <w:kinsoku/>
        <w:autoSpaceDE/>
        <w:autoSpaceDN/>
        <w:ind w:right="1" w:firstLine="452" w:firstLineChars="200"/>
        <w:jc w:val="both"/>
        <w:textAlignment w:val="auto"/>
        <w:rPr>
          <w:rFonts w:hint="eastAsia" w:ascii="宋体" w:hAnsi="宋体" w:eastAsia="宋体" w:cs="宋体"/>
          <w:snapToGrid/>
          <w:spacing w:val="-7"/>
          <w:sz w:val="24"/>
          <w:szCs w:val="24"/>
          <w:lang w:eastAsia="zh-CN"/>
        </w:rPr>
      </w:pPr>
      <w:r>
        <w:rPr>
          <w:rFonts w:hint="eastAsia" w:ascii="宋体" w:hAnsi="宋体" w:eastAsia="宋体" w:cs="宋体"/>
          <w:snapToGrid/>
          <w:spacing w:val="-7"/>
          <w:sz w:val="24"/>
          <w:szCs w:val="24"/>
          <w:lang w:eastAsia="zh-CN"/>
        </w:rPr>
        <w:t>六安市公共资源交易平台电子交易系统联系电话：0512-58188516</w:t>
      </w:r>
    </w:p>
    <w:p w14:paraId="5F80476C">
      <w:pPr>
        <w:widowControl w:val="0"/>
        <w:kinsoku/>
        <w:autoSpaceDE/>
        <w:autoSpaceDN/>
        <w:ind w:right="1" w:firstLine="452" w:firstLineChars="200"/>
        <w:jc w:val="both"/>
        <w:textAlignment w:val="auto"/>
        <w:rPr>
          <w:rFonts w:hint="eastAsia" w:ascii="宋体" w:hAnsi="宋体" w:eastAsia="宋体" w:cs="宋体"/>
          <w:snapToGrid/>
          <w:spacing w:val="-7"/>
          <w:sz w:val="24"/>
          <w:szCs w:val="24"/>
          <w:lang w:eastAsia="zh-CN"/>
        </w:rPr>
      </w:pPr>
      <w:r>
        <w:rPr>
          <w:rFonts w:hint="eastAsia" w:ascii="宋体" w:hAnsi="宋体" w:eastAsia="宋体" w:cs="宋体"/>
          <w:snapToGrid/>
          <w:spacing w:val="-7"/>
          <w:sz w:val="24"/>
          <w:szCs w:val="24"/>
          <w:lang w:eastAsia="zh-CN"/>
        </w:rPr>
        <w:t>六安市公共资源交易平台电子交易系统CA证书办理机构：安徽CA（安徽省电子认证管理中心有限责任公司）联系电话：400-615-8899</w:t>
      </w:r>
    </w:p>
    <w:p w14:paraId="5740D6B2">
      <w:pPr>
        <w:widowControl w:val="0"/>
        <w:kinsoku/>
        <w:autoSpaceDE/>
        <w:autoSpaceDN/>
        <w:ind w:right="1" w:firstLine="452" w:firstLineChars="200"/>
        <w:jc w:val="both"/>
        <w:textAlignment w:val="auto"/>
        <w:rPr>
          <w:rFonts w:hint="eastAsia" w:ascii="宋体" w:hAnsi="宋体" w:eastAsia="宋体" w:cs="宋体"/>
          <w:snapToGrid/>
          <w:spacing w:val="-7"/>
          <w:sz w:val="24"/>
          <w:szCs w:val="24"/>
          <w:lang w:eastAsia="zh-CN"/>
        </w:rPr>
      </w:pPr>
      <w:r>
        <w:rPr>
          <w:rFonts w:hint="eastAsia" w:ascii="宋体" w:hAnsi="宋体" w:eastAsia="宋体" w:cs="宋体"/>
          <w:snapToGrid/>
          <w:spacing w:val="-7"/>
          <w:sz w:val="24"/>
          <w:szCs w:val="24"/>
          <w:lang w:eastAsia="zh-CN"/>
        </w:rPr>
        <w:t>CFCA（江苏翔晟信息技术股份有限公司）联系电话：025-66085508</w:t>
      </w:r>
    </w:p>
    <w:p w14:paraId="6D794A0C">
      <w:pPr>
        <w:widowControl w:val="0"/>
        <w:kinsoku/>
        <w:autoSpaceDE/>
        <w:autoSpaceDN/>
        <w:ind w:right="1" w:firstLine="452"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7"/>
          <w:sz w:val="24"/>
          <w:szCs w:val="24"/>
          <w:lang w:eastAsia="zh-CN"/>
        </w:rPr>
        <w:t>10、投标人在制作投标文件时，须将招标文件要求的资质资格、社保缴费证</w:t>
      </w:r>
      <w:r>
        <w:rPr>
          <w:rFonts w:hint="eastAsia" w:ascii="宋体" w:hAnsi="宋体" w:eastAsia="宋体" w:cs="宋体"/>
          <w:snapToGrid/>
          <w:spacing w:val="-6"/>
          <w:sz w:val="24"/>
          <w:szCs w:val="24"/>
          <w:lang w:eastAsia="zh-CN"/>
        </w:rPr>
        <w:t>明、奖项、业绩、荣誉等相关资料原件扫描件编入投标文件中，评标委</w:t>
      </w:r>
      <w:r>
        <w:rPr>
          <w:rFonts w:hint="eastAsia" w:ascii="宋体" w:hAnsi="宋体" w:eastAsia="宋体" w:cs="宋体"/>
          <w:snapToGrid/>
          <w:spacing w:val="-7"/>
          <w:sz w:val="24"/>
          <w:szCs w:val="24"/>
          <w:lang w:eastAsia="zh-CN"/>
        </w:rPr>
        <w:t>员会在评</w:t>
      </w:r>
      <w:r>
        <w:rPr>
          <w:rFonts w:hint="eastAsia" w:ascii="宋体" w:hAnsi="宋体" w:eastAsia="宋体" w:cs="宋体"/>
          <w:snapToGrid/>
          <w:spacing w:val="-1"/>
          <w:sz w:val="24"/>
          <w:szCs w:val="24"/>
          <w:lang w:eastAsia="zh-CN"/>
        </w:rPr>
        <w:t>审时以投标文件编入的信息原件扫描件为评审依据（其中：一级建造</w:t>
      </w:r>
      <w:r>
        <w:rPr>
          <w:rFonts w:hint="eastAsia" w:ascii="宋体" w:hAnsi="宋体" w:eastAsia="宋体" w:cs="宋体"/>
          <w:snapToGrid/>
          <w:spacing w:val="-2"/>
          <w:sz w:val="24"/>
          <w:szCs w:val="24"/>
          <w:lang w:eastAsia="zh-CN"/>
        </w:rPr>
        <w:t>师电子注册</w:t>
      </w:r>
      <w:r>
        <w:rPr>
          <w:rFonts w:hint="eastAsia" w:ascii="宋体" w:hAnsi="宋体" w:eastAsia="宋体" w:cs="宋体"/>
          <w:snapToGrid/>
          <w:spacing w:val="-1"/>
          <w:sz w:val="24"/>
          <w:szCs w:val="24"/>
          <w:lang w:eastAsia="zh-CN"/>
        </w:rPr>
        <w:t>证书的评审应按《住房和城乡建设部办公厅关于全面实行一级建造师</w:t>
      </w:r>
      <w:r>
        <w:rPr>
          <w:rFonts w:hint="eastAsia" w:ascii="宋体" w:hAnsi="宋体" w:eastAsia="宋体" w:cs="宋体"/>
          <w:snapToGrid/>
          <w:spacing w:val="-2"/>
          <w:sz w:val="24"/>
          <w:szCs w:val="24"/>
          <w:lang w:eastAsia="zh-CN"/>
        </w:rPr>
        <w:t>电子注册证</w:t>
      </w:r>
      <w:r>
        <w:rPr>
          <w:rFonts w:hint="eastAsia" w:ascii="宋体" w:hAnsi="宋体" w:eastAsia="宋体" w:cs="宋体"/>
          <w:snapToGrid/>
          <w:spacing w:val="-1"/>
          <w:sz w:val="24"/>
          <w:szCs w:val="24"/>
          <w:lang w:eastAsia="zh-CN"/>
        </w:rPr>
        <w:t>书的通知》（建办市〔2021〕40号）执行，具体见技术标二评审说</w:t>
      </w:r>
      <w:r>
        <w:rPr>
          <w:rFonts w:hint="eastAsia" w:ascii="宋体" w:hAnsi="宋体" w:eastAsia="宋体" w:cs="宋体"/>
          <w:snapToGrid/>
          <w:spacing w:val="-2"/>
          <w:sz w:val="24"/>
          <w:szCs w:val="24"/>
          <w:lang w:eastAsia="zh-CN"/>
        </w:rPr>
        <w:t>明）。编入投</w:t>
      </w:r>
      <w:r>
        <w:rPr>
          <w:rFonts w:hint="eastAsia" w:ascii="宋体" w:hAnsi="宋体" w:eastAsia="宋体" w:cs="宋体"/>
          <w:snapToGrid/>
          <w:spacing w:val="-1"/>
          <w:sz w:val="24"/>
          <w:szCs w:val="24"/>
          <w:lang w:eastAsia="zh-CN"/>
        </w:rPr>
        <w:t>标文件的各种证书、证照、证明、文件、业绩、奖项、荣誉等相关资</w:t>
      </w:r>
      <w:r>
        <w:rPr>
          <w:rFonts w:hint="eastAsia" w:ascii="宋体" w:hAnsi="宋体" w:eastAsia="宋体" w:cs="宋体"/>
          <w:snapToGrid/>
          <w:spacing w:val="-2"/>
          <w:sz w:val="24"/>
          <w:szCs w:val="24"/>
          <w:lang w:eastAsia="zh-CN"/>
        </w:rPr>
        <w:t>料的扫描件</w:t>
      </w:r>
      <w:r>
        <w:rPr>
          <w:rFonts w:hint="eastAsia" w:ascii="宋体" w:hAnsi="宋体" w:eastAsia="宋体" w:cs="宋体"/>
          <w:snapToGrid/>
          <w:spacing w:val="-6"/>
          <w:sz w:val="24"/>
          <w:szCs w:val="24"/>
          <w:lang w:eastAsia="zh-CN"/>
        </w:rPr>
        <w:t>的原件，其真实性、准确性、完整性等均由投标人负责，编入投</w:t>
      </w:r>
      <w:r>
        <w:rPr>
          <w:rFonts w:hint="eastAsia" w:ascii="宋体" w:hAnsi="宋体" w:eastAsia="宋体" w:cs="宋体"/>
          <w:snapToGrid/>
          <w:spacing w:val="-7"/>
          <w:sz w:val="24"/>
          <w:szCs w:val="24"/>
          <w:lang w:eastAsia="zh-CN"/>
        </w:rPr>
        <w:t>标文件的原件扫</w:t>
      </w:r>
      <w:r>
        <w:rPr>
          <w:rFonts w:hint="eastAsia" w:ascii="宋体" w:hAnsi="宋体" w:eastAsia="宋体" w:cs="宋体"/>
          <w:snapToGrid/>
          <w:spacing w:val="-2"/>
          <w:sz w:val="24"/>
          <w:szCs w:val="24"/>
          <w:lang w:eastAsia="zh-CN"/>
        </w:rPr>
        <w:t>描件必须与原件一致，否则按投标无效或废标处理。</w:t>
      </w:r>
    </w:p>
    <w:p w14:paraId="611A90F7">
      <w:pPr>
        <w:widowControl w:val="0"/>
        <w:kinsoku/>
        <w:autoSpaceDE/>
        <w:autoSpaceDN/>
        <w:ind w:right="21" w:firstLine="497"/>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2"/>
          <w:sz w:val="24"/>
          <w:szCs w:val="24"/>
          <w:lang w:eastAsia="zh-CN"/>
        </w:rPr>
        <w:t>11、投标人在下载招标文件（含答疑澄清文件等）过程</w:t>
      </w:r>
      <w:r>
        <w:rPr>
          <w:rFonts w:hint="eastAsia" w:ascii="宋体" w:hAnsi="宋体" w:eastAsia="宋体" w:cs="宋体"/>
          <w:snapToGrid/>
          <w:spacing w:val="-3"/>
          <w:sz w:val="24"/>
          <w:szCs w:val="24"/>
          <w:lang w:eastAsia="zh-CN"/>
        </w:rPr>
        <w:t>中若遇到问题，请与</w:t>
      </w:r>
      <w:r>
        <w:rPr>
          <w:rFonts w:hint="eastAsia" w:ascii="宋体" w:hAnsi="宋体" w:eastAsia="宋体" w:cs="宋体"/>
          <w:snapToGrid/>
          <w:spacing w:val="2"/>
          <w:sz w:val="24"/>
          <w:szCs w:val="24"/>
          <w:lang w:eastAsia="zh-CN"/>
        </w:rPr>
        <w:t>软件技术支持联系，电话：0512-581</w:t>
      </w:r>
      <w:r>
        <w:rPr>
          <w:rFonts w:hint="eastAsia" w:ascii="宋体" w:hAnsi="宋体" w:eastAsia="宋体" w:cs="宋体"/>
          <w:snapToGrid/>
          <w:spacing w:val="1"/>
          <w:sz w:val="24"/>
          <w:szCs w:val="24"/>
          <w:lang w:eastAsia="zh-CN"/>
        </w:rPr>
        <w:t>88516。在咨询过程中不得透露投标人自身</w:t>
      </w:r>
      <w:r>
        <w:rPr>
          <w:rFonts w:hint="eastAsia" w:ascii="宋体" w:hAnsi="宋体" w:eastAsia="宋体" w:cs="宋体"/>
          <w:snapToGrid/>
          <w:spacing w:val="-10"/>
          <w:sz w:val="24"/>
          <w:szCs w:val="24"/>
          <w:lang w:eastAsia="zh-CN"/>
        </w:rPr>
        <w:t>信息。</w:t>
      </w:r>
    </w:p>
    <w:p w14:paraId="53382F11">
      <w:pPr>
        <w:widowControl w:val="0"/>
        <w:kinsoku/>
        <w:autoSpaceDE/>
        <w:autoSpaceDN/>
        <w:spacing w:line="360" w:lineRule="auto"/>
        <w:ind w:left="4"/>
        <w:jc w:val="both"/>
        <w:textAlignment w:val="auto"/>
        <w:rPr>
          <w:rFonts w:hint="eastAsia" w:ascii="宋体" w:hAnsi="宋体" w:eastAsia="宋体" w:cs="宋体"/>
          <w:snapToGrid/>
          <w:sz w:val="24"/>
          <w:szCs w:val="24"/>
          <w:lang w:eastAsia="zh-CN"/>
        </w:rPr>
      </w:pPr>
      <w:r>
        <w:rPr>
          <w:rFonts w:hint="eastAsia" w:ascii="宋体" w:hAnsi="宋体" w:eastAsia="宋体" w:cs="宋体"/>
          <w:b/>
          <w:snapToGrid/>
          <w:spacing w:val="-4"/>
          <w:sz w:val="24"/>
          <w:szCs w:val="24"/>
          <w:lang w:eastAsia="zh-CN"/>
        </w:rPr>
        <w:t>二十一、联系方式：</w:t>
      </w:r>
    </w:p>
    <w:p w14:paraId="2D728920">
      <w:pPr>
        <w:widowControl w:val="0"/>
        <w:kinsoku/>
        <w:autoSpaceDE/>
        <w:autoSpaceDN/>
        <w:spacing w:line="360" w:lineRule="auto"/>
        <w:ind w:left="480"/>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1、招标人：霍邱县东西湖水资源保护利用中心</w:t>
      </w:r>
    </w:p>
    <w:p w14:paraId="1E036453">
      <w:pPr>
        <w:widowControl w:val="0"/>
        <w:kinsoku/>
        <w:autoSpaceDE/>
        <w:autoSpaceDN/>
        <w:spacing w:line="360" w:lineRule="auto"/>
        <w:ind w:left="481"/>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地址：霍邱</w:t>
      </w:r>
      <w:r>
        <w:rPr>
          <w:rFonts w:hint="eastAsia" w:ascii="宋体" w:hAnsi="宋体" w:eastAsia="宋体" w:cs="宋体"/>
          <w:snapToGrid/>
          <w:color w:val="auto"/>
          <w:spacing w:val="-1"/>
          <w:sz w:val="24"/>
          <w:szCs w:val="24"/>
          <w:lang w:eastAsia="zh-CN"/>
        </w:rPr>
        <w:t>县司法局七楼</w:t>
      </w:r>
    </w:p>
    <w:p w14:paraId="032C7383">
      <w:pPr>
        <w:widowControl w:val="0"/>
        <w:kinsoku/>
        <w:autoSpaceDE/>
        <w:autoSpaceDN/>
        <w:spacing w:line="360" w:lineRule="auto"/>
        <w:ind w:left="481"/>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联系人（受理异议人</w:t>
      </w:r>
      <w:r>
        <w:rPr>
          <w:rFonts w:hint="eastAsia" w:ascii="宋体" w:hAnsi="宋体" w:eastAsia="宋体" w:cs="宋体"/>
          <w:snapToGrid/>
          <w:sz w:val="24"/>
          <w:szCs w:val="24"/>
          <w:lang w:eastAsia="zh-CN"/>
        </w:rPr>
        <w:t>）：</w:t>
      </w:r>
      <w:r>
        <w:rPr>
          <w:rFonts w:hint="eastAsia" w:ascii="宋体" w:hAnsi="宋体" w:eastAsia="宋体" w:cs="宋体"/>
          <w:snapToGrid/>
          <w:spacing w:val="-1"/>
          <w:sz w:val="24"/>
          <w:szCs w:val="24"/>
          <w:lang w:eastAsia="zh-CN"/>
        </w:rPr>
        <w:t>田雨禾</w:t>
      </w:r>
    </w:p>
    <w:p w14:paraId="5B581446">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电话：0564-6080218</w:t>
      </w:r>
    </w:p>
    <w:p w14:paraId="5D0E974C">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2、招标代理机构：安徽蓼欣项目管理咨询有限公司</w:t>
      </w:r>
    </w:p>
    <w:p w14:paraId="13CF3599">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地址：六安市霍邱县南外环路与西湖大道交叉口东南50米</w:t>
      </w:r>
    </w:p>
    <w:p w14:paraId="0F47F325">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项目负责人（受理异议人）:张皓卓</w:t>
      </w:r>
    </w:p>
    <w:p w14:paraId="56478DA2">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联系人：李旭</w:t>
      </w:r>
    </w:p>
    <w:p w14:paraId="12116CBA">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电话：0564-5038236、0564-6061018</w:t>
      </w:r>
    </w:p>
    <w:p w14:paraId="4184CC20">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3、电子交易系统</w:t>
      </w:r>
    </w:p>
    <w:p w14:paraId="1E97B614">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名称:六安市公共资源电子交易系统</w:t>
      </w:r>
    </w:p>
    <w:p w14:paraId="3D30D78F">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电话:0512-58188516</w:t>
      </w:r>
    </w:p>
    <w:p w14:paraId="15CA6EEE">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4、电子服务系统</w:t>
      </w:r>
    </w:p>
    <w:p w14:paraId="120E5C1B">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名称:六安市公共资源交易电子服务</w:t>
      </w:r>
    </w:p>
    <w:p w14:paraId="4BF041C3">
      <w:pPr>
        <w:widowControl w:val="0"/>
        <w:kinsoku/>
        <w:autoSpaceDE/>
        <w:autoSpaceDN/>
        <w:spacing w:line="360" w:lineRule="auto"/>
        <w:ind w:left="473"/>
        <w:jc w:val="both"/>
        <w:textAlignment w:val="auto"/>
        <w:rPr>
          <w:rFonts w:hint="eastAsia" w:ascii="宋体" w:hAnsi="宋体" w:eastAsia="宋体" w:cs="宋体"/>
          <w:snapToGrid/>
          <w:spacing w:val="-1"/>
          <w:sz w:val="24"/>
          <w:szCs w:val="24"/>
          <w:lang w:eastAsia="zh-CN"/>
        </w:rPr>
      </w:pPr>
      <w:r>
        <w:rPr>
          <w:rFonts w:hint="eastAsia" w:ascii="宋体" w:hAnsi="宋体" w:eastAsia="宋体" w:cs="宋体"/>
          <w:snapToGrid/>
          <w:spacing w:val="-1"/>
          <w:sz w:val="24"/>
          <w:szCs w:val="24"/>
          <w:lang w:eastAsia="zh-CN"/>
        </w:rPr>
        <w:t>系统电话:0512-58188516</w:t>
      </w:r>
    </w:p>
    <w:p w14:paraId="5B17BA64">
      <w:pPr>
        <w:widowControl w:val="0"/>
        <w:kinsoku/>
        <w:autoSpaceDE/>
        <w:autoSpaceDN/>
        <w:spacing w:line="360" w:lineRule="auto"/>
        <w:ind w:left="473"/>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5、招标监督管理机构：霍邱县公共资源交易监督管理局</w:t>
      </w:r>
    </w:p>
    <w:p w14:paraId="38568564">
      <w:pPr>
        <w:widowControl w:val="0"/>
        <w:kinsoku/>
        <w:autoSpaceDE/>
        <w:autoSpaceDN/>
        <w:spacing w:line="360" w:lineRule="auto"/>
        <w:ind w:left="472"/>
        <w:jc w:val="both"/>
        <w:textAlignment w:val="auto"/>
        <w:rPr>
          <w:rFonts w:hint="eastAsia" w:ascii="宋体" w:hAnsi="宋体" w:eastAsia="宋体" w:cs="宋体"/>
          <w:snapToGrid/>
          <w:sz w:val="24"/>
          <w:szCs w:val="24"/>
          <w:lang w:eastAsia="zh-CN"/>
        </w:rPr>
      </w:pPr>
      <w:r>
        <w:rPr>
          <w:rFonts w:hint="eastAsia" w:ascii="宋体" w:hAnsi="宋体" w:eastAsia="宋体" w:cs="宋体"/>
          <w:snapToGrid/>
          <w:spacing w:val="-1"/>
          <w:sz w:val="24"/>
          <w:szCs w:val="24"/>
          <w:lang w:eastAsia="zh-CN"/>
        </w:rPr>
        <w:t>地址：霍邱县蓼源国控集团综合楼四层</w:t>
      </w:r>
    </w:p>
    <w:p w14:paraId="6A4818DB">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电话：0564-2717089</w:t>
      </w:r>
    </w:p>
    <w:p w14:paraId="6AEE66FE">
      <w:pPr>
        <w:rPr>
          <w:rFonts w:hint="eastAsia" w:ascii="宋体" w:hAnsi="宋体" w:eastAsia="宋体" w:cs="宋体"/>
          <w:b/>
          <w:bCs/>
          <w:snapToGrid/>
          <w:spacing w:val="-3"/>
          <w:sz w:val="24"/>
          <w:szCs w:val="24"/>
          <w:lang w:eastAsia="zh-CN"/>
        </w:rPr>
      </w:pPr>
      <w:r>
        <w:rPr>
          <w:rFonts w:hint="eastAsia" w:ascii="宋体" w:hAnsi="宋体" w:eastAsia="宋体" w:cs="宋体"/>
          <w:b/>
          <w:bCs/>
          <w:snapToGrid/>
          <w:spacing w:val="-3"/>
          <w:sz w:val="24"/>
          <w:szCs w:val="24"/>
          <w:lang w:eastAsia="zh-CN"/>
        </w:rPr>
        <w:t>二十二、投标保证金收款银行账户信息</w:t>
      </w:r>
    </w:p>
    <w:p w14:paraId="56F20B85">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第一种方式：■网银支付■银行转账（选择一家银行进行缴费）</w:t>
      </w:r>
    </w:p>
    <w:p w14:paraId="1EB0C0DD">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（1）收款人姓名：霍邱县公共资源交易中心</w:t>
      </w:r>
    </w:p>
    <w:p w14:paraId="7DE3A610">
      <w:pPr>
        <w:widowControl w:val="0"/>
        <w:kinsoku/>
        <w:autoSpaceDE/>
        <w:autoSpaceDN/>
        <w:spacing w:line="360" w:lineRule="auto"/>
        <w:ind w:left="500" w:firstLine="234" w:firstLineChars="1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汇入银行账户名称：中国银行霍邱支行</w:t>
      </w:r>
    </w:p>
    <w:p w14:paraId="2166B477">
      <w:pPr>
        <w:widowControl w:val="0"/>
        <w:kinsoku/>
        <w:autoSpaceDE/>
        <w:autoSpaceDN/>
        <w:spacing w:line="360" w:lineRule="auto"/>
        <w:ind w:left="500" w:firstLine="234" w:firstLineChars="1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7C260E6C">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（2）收款人姓名：霍邱县公共资源交易中心</w:t>
      </w:r>
    </w:p>
    <w:p w14:paraId="5B04333A">
      <w:pPr>
        <w:widowControl w:val="0"/>
        <w:kinsoku/>
        <w:autoSpaceDE/>
        <w:autoSpaceDN/>
        <w:spacing w:line="360" w:lineRule="auto"/>
        <w:ind w:left="500" w:firstLine="234" w:firstLineChars="1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汇入银行账户名称：中国工商银行股份有限公司霍邱支行</w:t>
      </w:r>
    </w:p>
    <w:p w14:paraId="4B2E2AC9">
      <w:pPr>
        <w:widowControl w:val="0"/>
        <w:kinsoku/>
        <w:autoSpaceDE/>
        <w:autoSpaceDN/>
        <w:spacing w:line="360" w:lineRule="auto"/>
        <w:ind w:left="500" w:firstLine="234" w:firstLineChars="1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452C3E61">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（3）收款人姓名：霍邱县公共资源交易中心</w:t>
      </w:r>
    </w:p>
    <w:p w14:paraId="4D61F584">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汇入银行账户名称：徽商银行六安霍邱支行</w:t>
      </w:r>
    </w:p>
    <w:p w14:paraId="4214A078">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2C5CFB6E">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（4）收款人姓名：霍邱县公共资源交易中心</w:t>
      </w:r>
    </w:p>
    <w:p w14:paraId="06266AA7">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汇入银行账户名称：中国农业银行股份有限公司霍邱县支行</w:t>
      </w:r>
    </w:p>
    <w:p w14:paraId="0AD64B48">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5A12CEFD">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（5）收款人姓名：霍邱县公共资源交易中心</w:t>
      </w:r>
    </w:p>
    <w:p w14:paraId="1E9BA4D7">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汇入银行账户名称：中国邮政储蓄银行霍邱县支行</w:t>
      </w:r>
    </w:p>
    <w:p w14:paraId="540F9948">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75783C70">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（6）收款人姓名：霍邱县公共资源交易中心</w:t>
      </w:r>
    </w:p>
    <w:p w14:paraId="20B39A5D">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汇入银行账户名称：中国建设银行股份有限公司霍邱政务中心支行</w:t>
      </w:r>
    </w:p>
    <w:p w14:paraId="25359710">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汇入银行账号：</w:t>
      </w:r>
    </w:p>
    <w:p w14:paraId="13F0F9E9">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第二种方式：■纸质银行保函■纸质保证保险、担保保函等</w:t>
      </w:r>
    </w:p>
    <w:p w14:paraId="1EB022DC">
      <w:pPr>
        <w:widowControl w:val="0"/>
        <w:kinsoku/>
        <w:autoSpaceDE/>
        <w:autoSpaceDN/>
        <w:spacing w:line="360" w:lineRule="auto"/>
        <w:ind w:left="500"/>
        <w:jc w:val="both"/>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第三种方式：■电子银行保函■电子保证保险、担保保函等</w:t>
      </w:r>
    </w:p>
    <w:p w14:paraId="663602C6">
      <w:pPr>
        <w:widowControl w:val="0"/>
        <w:kinsoku/>
        <w:autoSpaceDE/>
        <w:autoSpaceDN/>
        <w:spacing w:before="183" w:line="360" w:lineRule="auto"/>
        <w:ind w:left="500"/>
        <w:jc w:val="center"/>
        <w:textAlignment w:val="auto"/>
        <w:rPr>
          <w:rFonts w:hint="eastAsia" w:ascii="宋体" w:hAnsi="宋体" w:eastAsia="宋体" w:cs="宋体"/>
          <w:snapToGrid/>
          <w:spacing w:val="-3"/>
          <w:sz w:val="24"/>
          <w:szCs w:val="24"/>
          <w:lang w:eastAsia="zh-CN"/>
        </w:rPr>
      </w:pPr>
    </w:p>
    <w:p w14:paraId="41155041">
      <w:pPr>
        <w:widowControl w:val="0"/>
        <w:kinsoku/>
        <w:autoSpaceDE/>
        <w:autoSpaceDN/>
        <w:spacing w:before="183" w:line="360" w:lineRule="auto"/>
        <w:ind w:left="500"/>
        <w:jc w:val="center"/>
        <w:textAlignment w:val="auto"/>
        <w:rPr>
          <w:rFonts w:hint="eastAsia" w:ascii="宋体" w:hAnsi="宋体" w:eastAsia="宋体" w:cs="宋体"/>
          <w:snapToGrid/>
          <w:spacing w:val="-3"/>
          <w:sz w:val="24"/>
          <w:szCs w:val="24"/>
          <w:lang w:eastAsia="zh-CN"/>
        </w:rPr>
      </w:pPr>
    </w:p>
    <w:p w14:paraId="69B49DC9">
      <w:pPr>
        <w:widowControl w:val="0"/>
        <w:kinsoku/>
        <w:autoSpaceDE/>
        <w:autoSpaceDN/>
        <w:spacing w:before="183" w:line="360" w:lineRule="auto"/>
        <w:ind w:left="500"/>
        <w:jc w:val="right"/>
        <w:textAlignment w:val="auto"/>
        <w:rPr>
          <w:rFonts w:hint="eastAsia" w:ascii="宋体" w:hAnsi="宋体" w:eastAsia="宋体" w:cs="宋体"/>
          <w:snapToGrid/>
          <w:spacing w:val="-3"/>
          <w:sz w:val="24"/>
          <w:szCs w:val="24"/>
          <w:lang w:eastAsia="zh-CN"/>
        </w:rPr>
      </w:pPr>
      <w:r>
        <w:rPr>
          <w:rFonts w:hint="eastAsia" w:ascii="宋体" w:hAnsi="宋体" w:eastAsia="宋体" w:cs="宋体"/>
          <w:snapToGrid/>
          <w:spacing w:val="-3"/>
          <w:sz w:val="24"/>
          <w:szCs w:val="24"/>
          <w:lang w:eastAsia="zh-CN"/>
        </w:rPr>
        <w:t>2026年</w:t>
      </w:r>
      <w:r>
        <w:rPr>
          <w:rFonts w:hint="eastAsia" w:ascii="宋体" w:hAnsi="宋体" w:eastAsia="宋体" w:cs="宋体"/>
          <w:snapToGrid/>
          <w:spacing w:val="-3"/>
          <w:sz w:val="24"/>
          <w:szCs w:val="24"/>
          <w:lang w:val="en-US" w:eastAsia="zh-CN"/>
        </w:rPr>
        <w:t>6</w:t>
      </w:r>
      <w:r>
        <w:rPr>
          <w:rFonts w:hint="eastAsia" w:ascii="宋体" w:hAnsi="宋体" w:eastAsia="宋体" w:cs="宋体"/>
          <w:snapToGrid/>
          <w:spacing w:val="-3"/>
          <w:sz w:val="24"/>
          <w:szCs w:val="24"/>
          <w:lang w:eastAsia="zh-CN"/>
        </w:rPr>
        <w:t>月日</w:t>
      </w:r>
    </w:p>
    <w:p w14:paraId="51160F7F">
      <w:pPr>
        <w:spacing w:line="360" w:lineRule="auto"/>
        <w:rPr>
          <w:rFonts w:hint="eastAsia" w:ascii="宋体" w:hAnsi="宋体" w:eastAsia="宋体" w:cs="宋体"/>
          <w:sz w:val="24"/>
          <w:szCs w:val="24"/>
          <w:lang w:eastAsia="zh-CN"/>
        </w:rPr>
        <w:sectPr>
          <w:footerReference r:id="rId8" w:type="first"/>
          <w:footerReference r:id="rId7" w:type="default"/>
          <w:pgSz w:w="11909" w:h="16839"/>
          <w:pgMar w:top="1176" w:right="1106" w:bottom="1223" w:left="1389" w:header="0" w:footer="567" w:gutter="0"/>
          <w:pgNumType w:start="1"/>
          <w:cols w:space="720" w:num="1"/>
          <w:titlePg/>
          <w:docGrid w:type="lines" w:linePitch="312" w:charSpace="0"/>
        </w:sectPr>
      </w:pPr>
    </w:p>
    <w:p w14:paraId="565D4F0E">
      <w:pPr>
        <w:pStyle w:val="5"/>
        <w:rPr>
          <w:rFonts w:hint="eastAsia" w:ascii="宋体" w:hAnsi="宋体" w:eastAsia="宋体" w:cs="宋体"/>
          <w:b/>
          <w:sz w:val="36"/>
          <w:szCs w:val="36"/>
        </w:rPr>
      </w:pPr>
      <w:r>
        <w:rPr>
          <w:rFonts w:hint="eastAsia" w:ascii="宋体" w:hAnsi="宋体" w:eastAsia="宋体" w:cs="宋体"/>
          <w:b/>
          <w:sz w:val="36"/>
          <w:szCs w:val="36"/>
        </w:rPr>
        <w:t>第二章投标须知</w:t>
      </w:r>
      <w:bookmarkEnd w:id="0"/>
      <w:bookmarkEnd w:id="1"/>
      <w:bookmarkEnd w:id="2"/>
      <w:bookmarkStart w:id="6" w:name="_一、投标须知前附表"/>
      <w:bookmarkEnd w:id="6"/>
      <w:bookmarkStart w:id="7" w:name="_Toc171741987"/>
      <w:bookmarkStart w:id="8" w:name="_Toc200336328"/>
    </w:p>
    <w:p w14:paraId="54AEB6B5">
      <w:pPr>
        <w:pStyle w:val="6"/>
        <w:spacing w:line="360" w:lineRule="exact"/>
        <w:jc w:val="center"/>
        <w:rPr>
          <w:rFonts w:hint="eastAsia" w:ascii="宋体" w:hAnsi="宋体" w:eastAsia="宋体" w:cs="宋体"/>
        </w:rPr>
      </w:pPr>
      <w:bookmarkStart w:id="9" w:name="_Toc306204881"/>
      <w:bookmarkStart w:id="10" w:name="_Toc18162"/>
      <w:r>
        <w:rPr>
          <w:rFonts w:hint="eastAsia" w:ascii="宋体" w:hAnsi="宋体" w:eastAsia="宋体" w:cs="宋体"/>
        </w:rPr>
        <w:t>（一）前附表</w:t>
      </w:r>
      <w:bookmarkEnd w:id="7"/>
      <w:bookmarkEnd w:id="8"/>
      <w:bookmarkEnd w:id="9"/>
      <w:bookmarkEnd w:id="10"/>
    </w:p>
    <w:tbl>
      <w:tblPr>
        <w:tblStyle w:val="19"/>
        <w:tblW w:w="98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94"/>
        <w:gridCol w:w="2091"/>
        <w:gridCol w:w="7118"/>
      </w:tblGrid>
      <w:tr w14:paraId="40889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tblHeader/>
          <w:jc w:val="center"/>
        </w:trPr>
        <w:tc>
          <w:tcPr>
            <w:tcW w:w="594" w:type="dxa"/>
            <w:tcBorders>
              <w:top w:val="single" w:color="auto" w:sz="4" w:space="0"/>
              <w:left w:val="single" w:color="auto" w:sz="4" w:space="0"/>
              <w:bottom w:val="single" w:color="auto" w:sz="4" w:space="0"/>
              <w:right w:val="single" w:color="auto" w:sz="4" w:space="0"/>
            </w:tcBorders>
            <w:vAlign w:val="center"/>
          </w:tcPr>
          <w:p w14:paraId="4DA429CD">
            <w:pPr>
              <w:widowControl w:val="0"/>
              <w:kinsoku/>
              <w:autoSpaceDE/>
              <w:autoSpaceDN/>
              <w:spacing w:before="48" w:beforeLines="20" w:after="48" w:afterLines="20" w:line="320" w:lineRule="exact"/>
              <w:ind w:right="-358" w:firstLine="94" w:firstLineChars="43"/>
              <w:jc w:val="both"/>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序号</w:t>
            </w:r>
          </w:p>
        </w:tc>
        <w:tc>
          <w:tcPr>
            <w:tcW w:w="2091" w:type="dxa"/>
            <w:tcBorders>
              <w:top w:val="single" w:color="auto" w:sz="4" w:space="0"/>
              <w:left w:val="single" w:color="auto" w:sz="4" w:space="0"/>
              <w:bottom w:val="single" w:color="auto" w:sz="4" w:space="0"/>
              <w:right w:val="single" w:color="auto" w:sz="4" w:space="0"/>
            </w:tcBorders>
            <w:vAlign w:val="center"/>
          </w:tcPr>
          <w:p w14:paraId="2DE47477">
            <w:pPr>
              <w:widowControl w:val="0"/>
              <w:kinsoku/>
              <w:autoSpaceDE/>
              <w:autoSpaceDN/>
              <w:spacing w:before="48" w:beforeLines="20" w:after="48" w:afterLines="20"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序列名称</w:t>
            </w:r>
          </w:p>
        </w:tc>
        <w:tc>
          <w:tcPr>
            <w:tcW w:w="7118" w:type="dxa"/>
            <w:tcBorders>
              <w:top w:val="single" w:color="auto" w:sz="4" w:space="0"/>
              <w:left w:val="single" w:color="auto" w:sz="4" w:space="0"/>
              <w:bottom w:val="single" w:color="auto" w:sz="4" w:space="0"/>
              <w:right w:val="single" w:color="auto" w:sz="4" w:space="0"/>
            </w:tcBorders>
            <w:vAlign w:val="center"/>
          </w:tcPr>
          <w:p w14:paraId="3054CEA6">
            <w:pPr>
              <w:widowControl w:val="0"/>
              <w:tabs>
                <w:tab w:val="left" w:pos="1180"/>
              </w:tabs>
              <w:kinsoku/>
              <w:autoSpaceDE/>
              <w:autoSpaceDN/>
              <w:spacing w:before="48" w:beforeLines="20" w:after="48" w:afterLines="20" w:line="360" w:lineRule="auto"/>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序列</w:t>
            </w:r>
          </w:p>
        </w:tc>
      </w:tr>
      <w:tr w14:paraId="3F8F2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2762875">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w:t>
            </w:r>
          </w:p>
        </w:tc>
        <w:tc>
          <w:tcPr>
            <w:tcW w:w="2091" w:type="dxa"/>
            <w:tcBorders>
              <w:top w:val="single" w:color="auto" w:sz="4" w:space="0"/>
              <w:left w:val="single" w:color="auto" w:sz="4" w:space="0"/>
              <w:bottom w:val="single" w:color="auto" w:sz="4" w:space="0"/>
              <w:right w:val="single" w:color="auto" w:sz="4" w:space="0"/>
            </w:tcBorders>
            <w:vAlign w:val="center"/>
          </w:tcPr>
          <w:p w14:paraId="19FAEEFE">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工程名称</w:t>
            </w:r>
          </w:p>
        </w:tc>
        <w:tc>
          <w:tcPr>
            <w:tcW w:w="7118" w:type="dxa"/>
            <w:tcBorders>
              <w:top w:val="single" w:color="auto" w:sz="4" w:space="0"/>
              <w:left w:val="single" w:color="auto" w:sz="4" w:space="0"/>
              <w:bottom w:val="single" w:color="auto" w:sz="4" w:space="0"/>
              <w:right w:val="single" w:color="auto" w:sz="4" w:space="0"/>
            </w:tcBorders>
            <w:vAlign w:val="center"/>
          </w:tcPr>
          <w:p w14:paraId="4AAF3B9F">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淮河流域霍邱段城东湖主要支流湿地净化工程（EPC）</w:t>
            </w:r>
          </w:p>
        </w:tc>
      </w:tr>
      <w:tr w14:paraId="427CD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22BFBE3">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w:t>
            </w:r>
          </w:p>
        </w:tc>
        <w:tc>
          <w:tcPr>
            <w:tcW w:w="2091" w:type="dxa"/>
            <w:tcBorders>
              <w:top w:val="single" w:color="auto" w:sz="4" w:space="0"/>
              <w:left w:val="single" w:color="auto" w:sz="4" w:space="0"/>
              <w:bottom w:val="single" w:color="auto" w:sz="4" w:space="0"/>
              <w:right w:val="single" w:color="auto" w:sz="4" w:space="0"/>
            </w:tcBorders>
            <w:vAlign w:val="center"/>
          </w:tcPr>
          <w:p w14:paraId="1C6B316C">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建设地点</w:t>
            </w:r>
          </w:p>
        </w:tc>
        <w:tc>
          <w:tcPr>
            <w:tcW w:w="7118" w:type="dxa"/>
            <w:tcBorders>
              <w:top w:val="single" w:color="auto" w:sz="4" w:space="0"/>
              <w:left w:val="single" w:color="auto" w:sz="4" w:space="0"/>
              <w:bottom w:val="single" w:color="auto" w:sz="4" w:space="0"/>
              <w:right w:val="single" w:color="auto" w:sz="4" w:space="0"/>
            </w:tcBorders>
            <w:vAlign w:val="center"/>
          </w:tcPr>
          <w:p w14:paraId="5753BCBF">
            <w:pPr>
              <w:widowControl w:val="0"/>
              <w:kinsoku/>
              <w:autoSpaceDE/>
              <w:autoSpaceDN/>
              <w:spacing w:line="360" w:lineRule="auto"/>
              <w:ind w:firstLine="436"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snapToGrid/>
                <w:color w:val="auto"/>
                <w:spacing w:val="-1"/>
                <w:sz w:val="22"/>
                <w:szCs w:val="22"/>
                <w:highlight w:val="none"/>
                <w:lang w:eastAsia="zh-CN"/>
              </w:rPr>
              <w:t>霍邱县夏店镇、花园镇、孟集镇、潘集镇、三流乡、宋店镇境内</w:t>
            </w:r>
          </w:p>
        </w:tc>
      </w:tr>
      <w:tr w14:paraId="0414C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9E8D9BF">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w:t>
            </w:r>
          </w:p>
        </w:tc>
        <w:tc>
          <w:tcPr>
            <w:tcW w:w="2091" w:type="dxa"/>
            <w:tcBorders>
              <w:top w:val="single" w:color="auto" w:sz="4" w:space="0"/>
              <w:left w:val="single" w:color="auto" w:sz="4" w:space="0"/>
              <w:bottom w:val="single" w:color="auto" w:sz="4" w:space="0"/>
              <w:right w:val="single" w:color="auto" w:sz="4" w:space="0"/>
            </w:tcBorders>
            <w:vAlign w:val="center"/>
          </w:tcPr>
          <w:p w14:paraId="04F65D71">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招标人</w:t>
            </w:r>
          </w:p>
        </w:tc>
        <w:tc>
          <w:tcPr>
            <w:tcW w:w="7118" w:type="dxa"/>
            <w:tcBorders>
              <w:top w:val="single" w:color="auto" w:sz="4" w:space="0"/>
              <w:left w:val="single" w:color="auto" w:sz="4" w:space="0"/>
              <w:bottom w:val="single" w:color="auto" w:sz="4" w:space="0"/>
              <w:right w:val="single" w:color="auto" w:sz="4" w:space="0"/>
            </w:tcBorders>
            <w:vAlign w:val="center"/>
          </w:tcPr>
          <w:p w14:paraId="7A6B5E7C">
            <w:pPr>
              <w:widowControl w:val="0"/>
              <w:kinsoku/>
              <w:autoSpaceDE/>
              <w:autoSpaceDN/>
              <w:spacing w:line="360" w:lineRule="auto"/>
              <w:ind w:firstLine="436"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snapToGrid/>
                <w:color w:val="auto"/>
                <w:spacing w:val="-1"/>
                <w:sz w:val="22"/>
                <w:szCs w:val="22"/>
                <w:highlight w:val="none"/>
                <w:lang w:eastAsia="zh-CN"/>
              </w:rPr>
              <w:t>霍邱县东西湖水资源保护利用中心</w:t>
            </w:r>
          </w:p>
        </w:tc>
      </w:tr>
      <w:tr w14:paraId="3D062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2B6BABE5">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w:t>
            </w:r>
          </w:p>
        </w:tc>
        <w:tc>
          <w:tcPr>
            <w:tcW w:w="2091" w:type="dxa"/>
            <w:tcBorders>
              <w:top w:val="single" w:color="auto" w:sz="4" w:space="0"/>
              <w:left w:val="single" w:color="auto" w:sz="4" w:space="0"/>
              <w:bottom w:val="single" w:color="auto" w:sz="4" w:space="0"/>
              <w:right w:val="single" w:color="auto" w:sz="4" w:space="0"/>
            </w:tcBorders>
            <w:vAlign w:val="center"/>
          </w:tcPr>
          <w:p w14:paraId="5CAE49F4">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工程设计单位</w:t>
            </w:r>
          </w:p>
        </w:tc>
        <w:tc>
          <w:tcPr>
            <w:tcW w:w="7118" w:type="dxa"/>
            <w:tcBorders>
              <w:top w:val="single" w:color="auto" w:sz="4" w:space="0"/>
              <w:left w:val="single" w:color="auto" w:sz="4" w:space="0"/>
              <w:bottom w:val="single" w:color="auto" w:sz="4" w:space="0"/>
              <w:right w:val="single" w:color="auto" w:sz="4" w:space="0"/>
            </w:tcBorders>
            <w:vAlign w:val="center"/>
          </w:tcPr>
          <w:p w14:paraId="255806B6">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w:t>
            </w:r>
          </w:p>
        </w:tc>
      </w:tr>
      <w:tr w14:paraId="30120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0B69D8E">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w:t>
            </w:r>
          </w:p>
        </w:tc>
        <w:tc>
          <w:tcPr>
            <w:tcW w:w="2091" w:type="dxa"/>
            <w:tcBorders>
              <w:top w:val="single" w:color="auto" w:sz="4" w:space="0"/>
              <w:left w:val="single" w:color="auto" w:sz="4" w:space="0"/>
              <w:bottom w:val="single" w:color="auto" w:sz="4" w:space="0"/>
              <w:right w:val="single" w:color="auto" w:sz="4" w:space="0"/>
            </w:tcBorders>
            <w:vAlign w:val="center"/>
          </w:tcPr>
          <w:p w14:paraId="68C71FDC">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建设规模</w:t>
            </w:r>
          </w:p>
        </w:tc>
        <w:tc>
          <w:tcPr>
            <w:tcW w:w="7118" w:type="dxa"/>
            <w:tcBorders>
              <w:top w:val="single" w:color="auto" w:sz="4" w:space="0"/>
              <w:left w:val="single" w:color="auto" w:sz="4" w:space="0"/>
              <w:bottom w:val="single" w:color="auto" w:sz="4" w:space="0"/>
              <w:right w:val="single" w:color="auto" w:sz="4" w:space="0"/>
            </w:tcBorders>
            <w:vAlign w:val="center"/>
          </w:tcPr>
          <w:p w14:paraId="3A1E1B81">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ascii="宋体" w:hAnsi="宋体" w:eastAsia="宋体" w:cs="宋体"/>
                <w:bCs/>
                <w:snapToGrid/>
                <w:color w:val="auto"/>
                <w:sz w:val="22"/>
                <w:szCs w:val="22"/>
                <w:highlight w:val="none"/>
                <w:lang w:eastAsia="zh-CN"/>
              </w:rPr>
              <w:t>本项目总投资金额为7464.42万元。</w:t>
            </w:r>
          </w:p>
        </w:tc>
      </w:tr>
      <w:tr w14:paraId="55F1E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E050B24">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6</w:t>
            </w:r>
          </w:p>
        </w:tc>
        <w:tc>
          <w:tcPr>
            <w:tcW w:w="2091" w:type="dxa"/>
            <w:tcBorders>
              <w:top w:val="single" w:color="auto" w:sz="4" w:space="0"/>
              <w:left w:val="single" w:color="auto" w:sz="4" w:space="0"/>
              <w:bottom w:val="single" w:color="auto" w:sz="4" w:space="0"/>
              <w:right w:val="single" w:color="auto" w:sz="4" w:space="0"/>
            </w:tcBorders>
            <w:vAlign w:val="center"/>
          </w:tcPr>
          <w:p w14:paraId="62892DA8">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工程概况简要说明</w:t>
            </w:r>
          </w:p>
        </w:tc>
        <w:tc>
          <w:tcPr>
            <w:tcW w:w="7118" w:type="dxa"/>
            <w:tcBorders>
              <w:top w:val="single" w:color="auto" w:sz="4" w:space="0"/>
              <w:left w:val="single" w:color="auto" w:sz="4" w:space="0"/>
              <w:bottom w:val="single" w:color="auto" w:sz="4" w:space="0"/>
              <w:right w:val="single" w:color="auto" w:sz="4" w:space="0"/>
            </w:tcBorders>
            <w:vAlign w:val="center"/>
          </w:tcPr>
          <w:p w14:paraId="43A96E1B">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根据城东湖流域特点，</w:t>
            </w:r>
            <w:r>
              <w:rPr>
                <w:rFonts w:hint="eastAsia" w:ascii="宋体" w:hAnsi="宋体" w:eastAsia="宋体" w:cs="宋体"/>
                <w:bCs/>
                <w:snapToGrid/>
                <w:color w:val="auto"/>
                <w:sz w:val="22"/>
                <w:szCs w:val="22"/>
                <w:highlight w:val="none"/>
                <w:lang w:val="en-US" w:eastAsia="zh-CN"/>
              </w:rPr>
              <w:t>依据工程治理目标，</w:t>
            </w:r>
            <w:r>
              <w:rPr>
                <w:rFonts w:hint="eastAsia" w:ascii="宋体" w:hAnsi="宋体" w:eastAsia="宋体" w:cs="宋体"/>
                <w:bCs/>
                <w:snapToGrid/>
                <w:color w:val="auto"/>
                <w:sz w:val="22"/>
                <w:szCs w:val="22"/>
                <w:highlight w:val="none"/>
                <w:lang w:eastAsia="zh-CN"/>
              </w:rPr>
              <w:t>利用现状沟塘，在主要入</w:t>
            </w:r>
            <w:r>
              <w:rPr>
                <w:rFonts w:hint="eastAsia" w:ascii="宋体" w:hAnsi="宋体" w:eastAsia="宋体" w:cs="宋体"/>
                <w:bCs/>
                <w:snapToGrid/>
                <w:color w:val="auto"/>
                <w:sz w:val="22"/>
                <w:szCs w:val="22"/>
                <w:highlight w:val="none"/>
                <w:lang w:val="en-US" w:eastAsia="zh-CN"/>
              </w:rPr>
              <w:t>河及入湖支流旁路构建湿地和生态沟渠，</w:t>
            </w:r>
            <w:r>
              <w:rPr>
                <w:rFonts w:hint="eastAsia" w:ascii="宋体" w:hAnsi="宋体" w:eastAsia="宋体" w:cs="宋体"/>
                <w:bCs/>
                <w:snapToGrid/>
                <w:color w:val="auto"/>
                <w:sz w:val="22"/>
                <w:szCs w:val="22"/>
                <w:highlight w:val="none"/>
                <w:lang w:eastAsia="zh-CN"/>
              </w:rPr>
              <w:t>配套建设部分污水收集管道及一座污水收集处理设施。①生态湿地建设工程：在新河入汲河口、孙桥堰沟入汲河口、郭圩大沟入城东湖河口、孟集镇南侧排水渠入城东湖河口、大庄东侧沟渠入城东湖口处共构建5处生态净化湿地；②</w:t>
            </w:r>
            <w:r>
              <w:rPr>
                <w:rFonts w:hint="eastAsia" w:ascii="宋体" w:hAnsi="宋体" w:eastAsia="宋体" w:cs="宋体"/>
                <w:bCs/>
                <w:snapToGrid/>
                <w:color w:val="auto"/>
                <w:sz w:val="22"/>
                <w:szCs w:val="22"/>
                <w:highlight w:val="none"/>
                <w:lang w:val="en-US" w:eastAsia="zh-CN"/>
              </w:rPr>
              <w:t>缓冲带（</w:t>
            </w:r>
            <w:r>
              <w:rPr>
                <w:rFonts w:hint="eastAsia" w:ascii="宋体" w:hAnsi="宋体" w:eastAsia="宋体" w:cs="宋体"/>
                <w:bCs/>
                <w:snapToGrid/>
                <w:color w:val="auto"/>
                <w:sz w:val="22"/>
                <w:szCs w:val="22"/>
                <w:highlight w:val="none"/>
                <w:lang w:eastAsia="zh-CN"/>
              </w:rPr>
              <w:t>沟渠）建设工程：结合现场实际条件，对新河、孙桥堰沟、汲东干渠连通沟等15条沟渠进行生态化改造；③截污纳管建设工程：在夏店镇砖洪村和孟集镇新建污水收集管道，扩建200m³/d污水处理设施1座。本项目总投资金额为7464.42万元。</w:t>
            </w:r>
          </w:p>
        </w:tc>
      </w:tr>
      <w:tr w14:paraId="41843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C3C0D3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7</w:t>
            </w:r>
          </w:p>
        </w:tc>
        <w:tc>
          <w:tcPr>
            <w:tcW w:w="2091" w:type="dxa"/>
            <w:tcBorders>
              <w:top w:val="single" w:color="auto" w:sz="4" w:space="0"/>
              <w:left w:val="single" w:color="auto" w:sz="4" w:space="0"/>
              <w:bottom w:val="single" w:color="auto" w:sz="4" w:space="0"/>
              <w:right w:val="single" w:color="auto" w:sz="4" w:space="0"/>
            </w:tcBorders>
            <w:vAlign w:val="center"/>
          </w:tcPr>
          <w:p w14:paraId="66D2D97B">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招标范围</w:t>
            </w:r>
          </w:p>
        </w:tc>
        <w:tc>
          <w:tcPr>
            <w:tcW w:w="7118" w:type="dxa"/>
            <w:tcBorders>
              <w:top w:val="single" w:color="auto" w:sz="4" w:space="0"/>
              <w:left w:val="single" w:color="auto" w:sz="4" w:space="0"/>
              <w:bottom w:val="single" w:color="auto" w:sz="4" w:space="0"/>
              <w:right w:val="single" w:color="auto" w:sz="4" w:space="0"/>
            </w:tcBorders>
            <w:vAlign w:val="center"/>
          </w:tcPr>
          <w:p w14:paraId="41EE24DE">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☑招标公告及图纸设计范围</w:t>
            </w:r>
          </w:p>
          <w:p w14:paraId="680922AD">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□其他说明：</w:t>
            </w:r>
          </w:p>
        </w:tc>
      </w:tr>
      <w:tr w14:paraId="50A05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078D3318">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8</w:t>
            </w:r>
          </w:p>
        </w:tc>
        <w:tc>
          <w:tcPr>
            <w:tcW w:w="2091" w:type="dxa"/>
            <w:tcBorders>
              <w:top w:val="single" w:color="auto" w:sz="4" w:space="0"/>
              <w:left w:val="single" w:color="auto" w:sz="4" w:space="0"/>
              <w:bottom w:val="single" w:color="auto" w:sz="4" w:space="0"/>
              <w:right w:val="single" w:color="auto" w:sz="4" w:space="0"/>
            </w:tcBorders>
            <w:vAlign w:val="center"/>
          </w:tcPr>
          <w:p w14:paraId="4EEDC542">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标段划分</w:t>
            </w:r>
          </w:p>
        </w:tc>
        <w:tc>
          <w:tcPr>
            <w:tcW w:w="7118" w:type="dxa"/>
            <w:tcBorders>
              <w:top w:val="single" w:color="auto" w:sz="4" w:space="0"/>
              <w:left w:val="single" w:color="auto" w:sz="4" w:space="0"/>
              <w:bottom w:val="single" w:color="auto" w:sz="4" w:space="0"/>
              <w:right w:val="single" w:color="auto" w:sz="4" w:space="0"/>
            </w:tcBorders>
            <w:vAlign w:val="center"/>
          </w:tcPr>
          <w:p w14:paraId="12B54EE5">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1个标段</w:t>
            </w:r>
          </w:p>
        </w:tc>
      </w:tr>
      <w:tr w14:paraId="408BA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29525DD">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9</w:t>
            </w:r>
          </w:p>
        </w:tc>
        <w:tc>
          <w:tcPr>
            <w:tcW w:w="2091" w:type="dxa"/>
            <w:tcBorders>
              <w:top w:val="single" w:color="auto" w:sz="4" w:space="0"/>
              <w:left w:val="single" w:color="auto" w:sz="4" w:space="0"/>
              <w:bottom w:val="single" w:color="auto" w:sz="4" w:space="0"/>
              <w:right w:val="single" w:color="auto" w:sz="4" w:space="0"/>
            </w:tcBorders>
            <w:vAlign w:val="center"/>
          </w:tcPr>
          <w:p w14:paraId="1EDA5DE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承包方式</w:t>
            </w:r>
          </w:p>
        </w:tc>
        <w:tc>
          <w:tcPr>
            <w:tcW w:w="7118" w:type="dxa"/>
            <w:tcBorders>
              <w:top w:val="single" w:color="auto" w:sz="4" w:space="0"/>
              <w:left w:val="single" w:color="auto" w:sz="4" w:space="0"/>
              <w:bottom w:val="single" w:color="auto" w:sz="4" w:space="0"/>
              <w:right w:val="single" w:color="auto" w:sz="4" w:space="0"/>
            </w:tcBorders>
            <w:vAlign w:val="center"/>
          </w:tcPr>
          <w:p w14:paraId="3A5095B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EPC（即设计、采购、施工）</w:t>
            </w:r>
          </w:p>
        </w:tc>
      </w:tr>
      <w:tr w14:paraId="2408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93B4AC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10</w:t>
            </w:r>
          </w:p>
        </w:tc>
        <w:tc>
          <w:tcPr>
            <w:tcW w:w="2091" w:type="dxa"/>
            <w:tcBorders>
              <w:top w:val="single" w:color="auto" w:sz="4" w:space="0"/>
              <w:left w:val="single" w:color="auto" w:sz="4" w:space="0"/>
              <w:bottom w:val="single" w:color="auto" w:sz="4" w:space="0"/>
              <w:right w:val="single" w:color="auto" w:sz="4" w:space="0"/>
            </w:tcBorders>
            <w:vAlign w:val="center"/>
          </w:tcPr>
          <w:p w14:paraId="02B1D07A">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是否允许联合体投标</w:t>
            </w:r>
          </w:p>
        </w:tc>
        <w:tc>
          <w:tcPr>
            <w:tcW w:w="7118" w:type="dxa"/>
            <w:tcBorders>
              <w:top w:val="single" w:color="auto" w:sz="4" w:space="0"/>
              <w:left w:val="single" w:color="auto" w:sz="4" w:space="0"/>
              <w:bottom w:val="single" w:color="auto" w:sz="4" w:space="0"/>
              <w:right w:val="single" w:color="auto" w:sz="4" w:space="0"/>
            </w:tcBorders>
            <w:vAlign w:val="center"/>
          </w:tcPr>
          <w:p w14:paraId="7A9793A9">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允许</w:t>
            </w:r>
          </w:p>
        </w:tc>
      </w:tr>
      <w:tr w14:paraId="1D6FD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D1C719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11</w:t>
            </w:r>
          </w:p>
        </w:tc>
        <w:tc>
          <w:tcPr>
            <w:tcW w:w="2091" w:type="dxa"/>
            <w:tcBorders>
              <w:top w:val="single" w:color="auto" w:sz="4" w:space="0"/>
              <w:left w:val="single" w:color="auto" w:sz="4" w:space="0"/>
              <w:bottom w:val="single" w:color="auto" w:sz="4" w:space="0"/>
              <w:right w:val="single" w:color="auto" w:sz="4" w:space="0"/>
            </w:tcBorders>
            <w:vAlign w:val="center"/>
          </w:tcPr>
          <w:p w14:paraId="473DB42C">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资金来源</w:t>
            </w:r>
          </w:p>
        </w:tc>
        <w:tc>
          <w:tcPr>
            <w:tcW w:w="7118" w:type="dxa"/>
            <w:tcBorders>
              <w:top w:val="single" w:color="auto" w:sz="4" w:space="0"/>
              <w:left w:val="single" w:color="auto" w:sz="4" w:space="0"/>
              <w:bottom w:val="single" w:color="auto" w:sz="4" w:space="0"/>
              <w:right w:val="single" w:color="auto" w:sz="4" w:space="0"/>
            </w:tcBorders>
            <w:vAlign w:val="center"/>
          </w:tcPr>
          <w:p w14:paraId="2535D66D">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财政资金</w:t>
            </w:r>
          </w:p>
        </w:tc>
      </w:tr>
      <w:tr w14:paraId="67927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59685AA">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12</w:t>
            </w:r>
          </w:p>
        </w:tc>
        <w:tc>
          <w:tcPr>
            <w:tcW w:w="2091" w:type="dxa"/>
            <w:tcBorders>
              <w:top w:val="single" w:color="auto" w:sz="4" w:space="0"/>
              <w:left w:val="single" w:color="auto" w:sz="4" w:space="0"/>
              <w:bottom w:val="single" w:color="auto" w:sz="4" w:space="0"/>
              <w:right w:val="single" w:color="auto" w:sz="4" w:space="0"/>
            </w:tcBorders>
            <w:vAlign w:val="center"/>
          </w:tcPr>
          <w:p w14:paraId="5A92C258">
            <w:pPr>
              <w:pStyle w:val="12"/>
              <w:adjustRightInd w:val="0"/>
              <w:snapToGrid w:val="0"/>
              <w:spacing w:line="3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计价方式</w:t>
            </w:r>
          </w:p>
        </w:tc>
        <w:tc>
          <w:tcPr>
            <w:tcW w:w="7118" w:type="dxa"/>
            <w:tcBorders>
              <w:top w:val="single" w:color="auto" w:sz="4" w:space="0"/>
              <w:left w:val="single" w:color="auto" w:sz="4" w:space="0"/>
              <w:bottom w:val="single" w:color="auto" w:sz="4" w:space="0"/>
              <w:right w:val="single" w:color="auto" w:sz="4" w:space="0"/>
            </w:tcBorders>
            <w:vAlign w:val="center"/>
          </w:tcPr>
          <w:p w14:paraId="4B367FE9">
            <w:pPr>
              <w:kinsoku/>
              <w:spacing w:line="360" w:lineRule="auto"/>
              <w:ind w:firstLine="440" w:firstLineChars="200"/>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本项目采用百分比报价方式竞标，由各投标人根据企业自身状况、工程特点等自行报价，但不得大于招标人公布的最高限价（本项目最高限价为初步设计概算价格的100.00%，其中设计费最终结算时不超过222.55万元）。报价保留至百分号前小数点后两位小数，如bb.bb%。</w:t>
            </w:r>
          </w:p>
          <w:p w14:paraId="04D5F49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此外，</w:t>
            </w:r>
            <w:bookmarkStart w:id="11" w:name="OLE_LINK2"/>
            <w:r>
              <w:rPr>
                <w:rFonts w:hint="eastAsia" w:ascii="宋体" w:hAnsi="宋体" w:eastAsia="宋体" w:cs="宋体"/>
                <w:snapToGrid/>
                <w:color w:val="auto"/>
                <w:sz w:val="22"/>
                <w:szCs w:val="22"/>
                <w:highlight w:val="none"/>
                <w:lang w:eastAsia="zh-CN"/>
              </w:rPr>
              <w:t>本项目设计费用包含在工程费投标报价（费率）中，不再另行计取。如为联合体投标的，本工程设计费由联合体牵头方支付给负责设计任务的成员方，联合体双方需在联合体协议中自行明确设计费的金额及支付节点等，各投标人充分考虑在投标报价（百分比）内，后续招标人不另行计算及支付。</w:t>
            </w:r>
            <w:bookmarkEnd w:id="11"/>
          </w:p>
          <w:p w14:paraId="1F155B17">
            <w:pPr>
              <w:widowControl w:val="0"/>
              <w:kinsoku/>
              <w:autoSpaceDE/>
              <w:autoSpaceDN/>
              <w:spacing w:line="360" w:lineRule="auto"/>
              <w:ind w:firstLine="442" w:firstLineChars="200"/>
              <w:textAlignment w:val="auto"/>
              <w:rPr>
                <w:rFonts w:hint="eastAsia" w:ascii="宋体" w:hAnsi="宋体" w:eastAsia="宋体" w:cs="宋体"/>
                <w:b/>
                <w:bCs/>
                <w:snapToGrid/>
                <w:color w:val="auto"/>
                <w:sz w:val="22"/>
                <w:szCs w:val="22"/>
                <w:highlight w:val="none"/>
                <w:lang w:eastAsia="zh-CN"/>
              </w:rPr>
            </w:pPr>
            <w:r>
              <w:rPr>
                <w:rFonts w:hint="eastAsia" w:ascii="宋体" w:hAnsi="宋体" w:eastAsia="宋体" w:cs="宋体"/>
                <w:b/>
                <w:bCs/>
                <w:snapToGrid/>
                <w:color w:val="auto"/>
                <w:sz w:val="22"/>
                <w:szCs w:val="22"/>
                <w:highlight w:val="none"/>
                <w:lang w:eastAsia="zh-CN"/>
              </w:rPr>
              <w:t>投标人须依据本项目招标文件、初步地质勘察报告、可行性研究报告、初步设计以及现场情况（投标人自行踏勘），充分考虑本工程实施过程中可能发生的全部风险（除本招标文件和合同约定的由招标人或双方共同承担的风险外，其他全部风险均由承包人承担），并体现在上述报价中。</w:t>
            </w:r>
          </w:p>
          <w:p w14:paraId="11543C1A">
            <w:pPr>
              <w:widowControl w:val="0"/>
              <w:kinsoku/>
              <w:autoSpaceDE/>
              <w:autoSpaceDN/>
              <w:spacing w:line="360" w:lineRule="auto"/>
              <w:ind w:firstLine="442"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
                <w:bCs/>
                <w:snapToGrid/>
                <w:color w:val="auto"/>
                <w:sz w:val="22"/>
                <w:szCs w:val="22"/>
                <w:highlight w:val="none"/>
                <w:lang w:eastAsia="zh-CN"/>
              </w:rPr>
              <w:t>特别说明：工程变更造价控制：由于中标人勘察、设计等原因导致发生工程量变更的，增加的工程量不予追加造价，减少的工程量据实予以扣减相应工程价款。</w:t>
            </w:r>
          </w:p>
        </w:tc>
      </w:tr>
      <w:tr w14:paraId="4B74A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88C688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13</w:t>
            </w:r>
          </w:p>
        </w:tc>
        <w:tc>
          <w:tcPr>
            <w:tcW w:w="2091" w:type="dxa"/>
            <w:tcBorders>
              <w:top w:val="single" w:color="auto" w:sz="4" w:space="0"/>
              <w:left w:val="single" w:color="auto" w:sz="4" w:space="0"/>
              <w:bottom w:val="single" w:color="auto" w:sz="4" w:space="0"/>
              <w:right w:val="single" w:color="auto" w:sz="4" w:space="0"/>
            </w:tcBorders>
            <w:vAlign w:val="center"/>
          </w:tcPr>
          <w:p w14:paraId="3D920F6E">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工程工期</w:t>
            </w:r>
          </w:p>
        </w:tc>
        <w:tc>
          <w:tcPr>
            <w:tcW w:w="7118" w:type="dxa"/>
            <w:tcBorders>
              <w:top w:val="single" w:color="auto" w:sz="4" w:space="0"/>
              <w:left w:val="single" w:color="auto" w:sz="4" w:space="0"/>
              <w:bottom w:val="single" w:color="auto" w:sz="4" w:space="0"/>
              <w:right w:val="single" w:color="auto" w:sz="4" w:space="0"/>
            </w:tcBorders>
            <w:vAlign w:val="center"/>
          </w:tcPr>
          <w:p w14:paraId="3E3E59CB">
            <w:pPr>
              <w:pStyle w:val="42"/>
              <w:widowControl w:val="0"/>
              <w:spacing w:before="0" w:beforeAutospacing="0" w:after="0" w:afterAutospacing="0" w:line="360" w:lineRule="auto"/>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工程建设服务总工期5年；</w:t>
            </w:r>
          </w:p>
          <w:p w14:paraId="2766BE76">
            <w:pPr>
              <w:pStyle w:val="42"/>
              <w:widowControl w:val="0"/>
              <w:spacing w:before="0" w:beforeAutospacing="0" w:after="0" w:afterAutospacing="0" w:line="360" w:lineRule="auto"/>
              <w:ind w:firstLine="440" w:firstLineChars="200"/>
              <w:rPr>
                <w:rFonts w:hint="eastAsia" w:cs="宋体"/>
                <w:color w:val="auto"/>
                <w:sz w:val="22"/>
                <w:szCs w:val="22"/>
                <w:highlight w:val="none"/>
              </w:rPr>
            </w:pPr>
            <w:r>
              <w:rPr>
                <w:rFonts w:hint="eastAsia" w:cs="宋体"/>
                <w:color w:val="auto"/>
                <w:sz w:val="22"/>
                <w:szCs w:val="22"/>
                <w:highlight w:val="none"/>
                <w:lang w:val="en-US" w:eastAsia="zh-CN"/>
              </w:rPr>
              <w:t>1、</w:t>
            </w:r>
            <w:r>
              <w:rPr>
                <w:rFonts w:hint="eastAsia" w:cs="宋体"/>
                <w:color w:val="auto"/>
                <w:sz w:val="22"/>
                <w:szCs w:val="22"/>
                <w:highlight w:val="none"/>
              </w:rPr>
              <w:t>施工总工期360个日历天（含勘察设计及施工）。其中：</w:t>
            </w:r>
          </w:p>
          <w:p w14:paraId="2BA583FE">
            <w:pPr>
              <w:pStyle w:val="42"/>
              <w:widowControl w:val="0"/>
              <w:spacing w:before="0" w:beforeAutospacing="0" w:after="0" w:afterAutospacing="0" w:line="360" w:lineRule="auto"/>
              <w:ind w:firstLine="440" w:firstLineChars="200"/>
              <w:rPr>
                <w:rFonts w:hint="eastAsia" w:cs="宋体"/>
                <w:color w:val="auto"/>
                <w:sz w:val="22"/>
                <w:szCs w:val="22"/>
                <w:highlight w:val="none"/>
              </w:rPr>
            </w:pPr>
            <w:r>
              <w:rPr>
                <w:rFonts w:hint="eastAsia" w:cs="宋体"/>
                <w:color w:val="auto"/>
                <w:sz w:val="22"/>
                <w:szCs w:val="22"/>
                <w:highlight w:val="none"/>
              </w:rPr>
              <w:t>（1）勘察设计周期：45日历天；</w:t>
            </w:r>
          </w:p>
          <w:p w14:paraId="07C579EC">
            <w:pPr>
              <w:pStyle w:val="42"/>
              <w:widowControl w:val="0"/>
              <w:spacing w:before="0" w:beforeAutospacing="0" w:after="0" w:afterAutospacing="0" w:line="360" w:lineRule="auto"/>
              <w:ind w:firstLine="440" w:firstLineChars="200"/>
              <w:rPr>
                <w:rFonts w:hint="eastAsia" w:cs="宋体"/>
                <w:color w:val="auto"/>
                <w:sz w:val="22"/>
                <w:szCs w:val="22"/>
                <w:highlight w:val="none"/>
              </w:rPr>
            </w:pPr>
            <w:r>
              <w:rPr>
                <w:rFonts w:hint="eastAsia" w:cs="宋体"/>
                <w:color w:val="auto"/>
                <w:sz w:val="22"/>
                <w:szCs w:val="22"/>
                <w:highlight w:val="none"/>
              </w:rPr>
              <w:t>（2）施工工期：315日历天。</w:t>
            </w:r>
          </w:p>
          <w:p w14:paraId="04D42D0D">
            <w:pPr>
              <w:pStyle w:val="42"/>
              <w:widowControl w:val="0"/>
              <w:spacing w:before="0" w:beforeAutospacing="0" w:after="0" w:afterAutospacing="0" w:line="360" w:lineRule="auto"/>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2、质保期：2年</w:t>
            </w:r>
          </w:p>
          <w:p w14:paraId="1B9FF60D">
            <w:pPr>
              <w:pStyle w:val="42"/>
              <w:widowControl w:val="0"/>
              <w:spacing w:before="0" w:beforeAutospacing="0" w:after="0" w:afterAutospacing="0" w:line="360" w:lineRule="auto"/>
              <w:ind w:firstLine="440" w:firstLineChars="200"/>
              <w:rPr>
                <w:rFonts w:hint="default" w:cs="宋体"/>
                <w:color w:val="auto"/>
                <w:sz w:val="22"/>
                <w:szCs w:val="22"/>
                <w:highlight w:val="none"/>
                <w:lang w:val="en-US" w:eastAsia="zh-CN"/>
              </w:rPr>
            </w:pPr>
            <w:r>
              <w:rPr>
                <w:rFonts w:hint="eastAsia" w:cs="宋体"/>
                <w:color w:val="auto"/>
                <w:sz w:val="22"/>
                <w:szCs w:val="22"/>
                <w:highlight w:val="none"/>
                <w:lang w:val="en-US" w:eastAsia="zh-CN"/>
              </w:rPr>
              <w:t>3、考核期2年</w:t>
            </w:r>
          </w:p>
          <w:p w14:paraId="3DE3139F">
            <w:pPr>
              <w:pStyle w:val="42"/>
              <w:spacing w:before="0" w:beforeAutospacing="0" w:after="0" w:afterAutospacing="0" w:line="360" w:lineRule="auto"/>
              <w:ind w:firstLine="440" w:firstLineChars="200"/>
              <w:rPr>
                <w:rFonts w:hint="eastAsia" w:cs="宋体"/>
                <w:color w:val="auto"/>
                <w:sz w:val="22"/>
                <w:szCs w:val="22"/>
                <w:highlight w:val="none"/>
              </w:rPr>
            </w:pPr>
            <w:r>
              <w:rPr>
                <w:rFonts w:hint="eastAsia" w:cs="宋体"/>
                <w:color w:val="auto"/>
                <w:sz w:val="22"/>
                <w:szCs w:val="22"/>
                <w:highlight w:val="none"/>
              </w:rPr>
              <w:t>预计开竣工日期：（具体开工时间以业主开工令为准）</w:t>
            </w:r>
          </w:p>
        </w:tc>
      </w:tr>
      <w:tr w14:paraId="39704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43055B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14</w:t>
            </w:r>
          </w:p>
        </w:tc>
        <w:tc>
          <w:tcPr>
            <w:tcW w:w="2091" w:type="dxa"/>
            <w:tcBorders>
              <w:top w:val="single" w:color="auto" w:sz="4" w:space="0"/>
              <w:left w:val="single" w:color="auto" w:sz="4" w:space="0"/>
              <w:bottom w:val="single" w:color="auto" w:sz="4" w:space="0"/>
              <w:right w:val="single" w:color="auto" w:sz="4" w:space="0"/>
            </w:tcBorders>
            <w:vAlign w:val="center"/>
          </w:tcPr>
          <w:p w14:paraId="5D549EF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质量标准要求</w:t>
            </w:r>
          </w:p>
        </w:tc>
        <w:tc>
          <w:tcPr>
            <w:tcW w:w="7118" w:type="dxa"/>
            <w:tcBorders>
              <w:top w:val="single" w:color="auto" w:sz="4" w:space="0"/>
              <w:left w:val="single" w:color="auto" w:sz="4" w:space="0"/>
              <w:bottom w:val="single" w:color="auto" w:sz="4" w:space="0"/>
              <w:right w:val="single" w:color="auto" w:sz="4" w:space="0"/>
            </w:tcBorders>
            <w:vAlign w:val="center"/>
          </w:tcPr>
          <w:p w14:paraId="1262B1D6">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质量目标：合格。</w:t>
            </w:r>
          </w:p>
          <w:p w14:paraId="6F4D253F">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设计质量标准：严格遵守限额设计的原则，满足招标人需求,符合现行相应行业最新的设计规范。施工图涉及各类专项设计均须通过业主和相关部门审查，各阶段成果达到并符合国家规定的工程设计文件编制深度规定的要求。</w:t>
            </w:r>
          </w:p>
          <w:p w14:paraId="7D9ADF2A">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施工质量标准：满足国家及地方的相关法律法规以及相关规范要求；达到环保验收及绩效考核标准要求。</w:t>
            </w:r>
          </w:p>
        </w:tc>
      </w:tr>
      <w:tr w14:paraId="62224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22C9EA46">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15</w:t>
            </w:r>
          </w:p>
        </w:tc>
        <w:tc>
          <w:tcPr>
            <w:tcW w:w="2091" w:type="dxa"/>
            <w:tcBorders>
              <w:top w:val="single" w:color="auto" w:sz="4" w:space="0"/>
              <w:left w:val="single" w:color="auto" w:sz="4" w:space="0"/>
              <w:bottom w:val="single" w:color="auto" w:sz="4" w:space="0"/>
              <w:right w:val="single" w:color="auto" w:sz="4" w:space="0"/>
            </w:tcBorders>
            <w:vAlign w:val="center"/>
          </w:tcPr>
          <w:p w14:paraId="372D4603">
            <w:pPr>
              <w:widowControl w:val="0"/>
              <w:kinsoku/>
              <w:autoSpaceDE/>
              <w:autoSpaceDN/>
              <w:adjustRightInd/>
              <w:snapToGrid/>
              <w:spacing w:line="360" w:lineRule="auto"/>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暂列金额、专业工程暂估价</w:t>
            </w:r>
          </w:p>
        </w:tc>
        <w:tc>
          <w:tcPr>
            <w:tcW w:w="7118" w:type="dxa"/>
            <w:tcBorders>
              <w:top w:val="single" w:color="auto" w:sz="4" w:space="0"/>
              <w:left w:val="single" w:color="auto" w:sz="4" w:space="0"/>
              <w:bottom w:val="single" w:color="auto" w:sz="4" w:space="0"/>
              <w:right w:val="single" w:color="auto" w:sz="4" w:space="0"/>
            </w:tcBorders>
            <w:vAlign w:val="center"/>
          </w:tcPr>
          <w:p w14:paraId="5EE3BEF9">
            <w:pPr>
              <w:pStyle w:val="8"/>
              <w:widowControl/>
              <w:adjustRightInd/>
              <w:spacing w:line="3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w:t>
            </w:r>
          </w:p>
        </w:tc>
      </w:tr>
      <w:tr w14:paraId="34CCE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8105DD6">
            <w:pPr>
              <w:pStyle w:val="42"/>
              <w:spacing w:before="0" w:beforeAutospacing="0" w:after="0" w:afterAutospacing="0"/>
              <w:ind w:firstLine="220" w:firstLineChars="100"/>
              <w:rPr>
                <w:rFonts w:hint="eastAsia" w:cs="宋体"/>
                <w:color w:val="auto"/>
                <w:sz w:val="22"/>
                <w:szCs w:val="22"/>
                <w:highlight w:val="none"/>
              </w:rPr>
            </w:pPr>
            <w:r>
              <w:rPr>
                <w:rFonts w:hint="eastAsia" w:cs="宋体"/>
                <w:color w:val="auto"/>
                <w:sz w:val="22"/>
                <w:szCs w:val="22"/>
                <w:highlight w:val="none"/>
              </w:rPr>
              <w:t>16</w:t>
            </w:r>
          </w:p>
        </w:tc>
        <w:tc>
          <w:tcPr>
            <w:tcW w:w="2091" w:type="dxa"/>
            <w:tcBorders>
              <w:top w:val="single" w:color="auto" w:sz="4" w:space="0"/>
              <w:left w:val="single" w:color="auto" w:sz="4" w:space="0"/>
              <w:bottom w:val="single" w:color="auto" w:sz="4" w:space="0"/>
              <w:right w:val="single" w:color="auto" w:sz="4" w:space="0"/>
            </w:tcBorders>
            <w:vAlign w:val="center"/>
          </w:tcPr>
          <w:p w14:paraId="06ECBD34">
            <w:pPr>
              <w:pStyle w:val="42"/>
              <w:widowControl w:val="0"/>
              <w:spacing w:before="0" w:beforeAutospacing="0" w:after="0" w:afterAutospacing="0" w:line="360" w:lineRule="auto"/>
              <w:jc w:val="center"/>
              <w:rPr>
                <w:rStyle w:val="22"/>
                <w:rFonts w:hint="eastAsia" w:cs="宋体"/>
                <w:b w:val="0"/>
                <w:color w:val="auto"/>
                <w:sz w:val="22"/>
                <w:szCs w:val="22"/>
                <w:highlight w:val="none"/>
              </w:rPr>
            </w:pPr>
            <w:r>
              <w:rPr>
                <w:rStyle w:val="22"/>
                <w:rFonts w:hint="eastAsia" w:hAnsi="Times New Roman" w:cs="宋体"/>
                <w:b w:val="0"/>
                <w:color w:val="auto"/>
                <w:sz w:val="22"/>
                <w:szCs w:val="22"/>
                <w:highlight w:val="none"/>
              </w:rPr>
              <w:t>评标定标办法</w:t>
            </w:r>
          </w:p>
        </w:tc>
        <w:tc>
          <w:tcPr>
            <w:tcW w:w="7118" w:type="dxa"/>
            <w:tcBorders>
              <w:top w:val="single" w:color="auto" w:sz="4" w:space="0"/>
              <w:left w:val="single" w:color="auto" w:sz="4" w:space="0"/>
              <w:bottom w:val="single" w:color="auto" w:sz="4" w:space="0"/>
              <w:right w:val="single" w:color="auto" w:sz="4" w:space="0"/>
            </w:tcBorders>
            <w:vAlign w:val="center"/>
          </w:tcPr>
          <w:p w14:paraId="43231AEE">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经评审的综合评价法：商务报价得分和技术标得分累计第一的投标人为第一中标候选人，得分第二、第三的投标人依次作为第二中标候选人和第三中标候选人。</w:t>
            </w:r>
          </w:p>
        </w:tc>
      </w:tr>
      <w:tr w14:paraId="03650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3F831D4">
            <w:pPr>
              <w:pStyle w:val="42"/>
              <w:spacing w:before="0" w:beforeAutospacing="0" w:after="0" w:afterAutospacing="0"/>
              <w:ind w:firstLine="220" w:firstLineChars="100"/>
              <w:rPr>
                <w:rFonts w:hint="eastAsia" w:cs="宋体"/>
                <w:color w:val="auto"/>
                <w:sz w:val="22"/>
                <w:szCs w:val="22"/>
                <w:highlight w:val="none"/>
              </w:rPr>
            </w:pPr>
            <w:r>
              <w:rPr>
                <w:rFonts w:hint="eastAsia" w:cs="宋体"/>
                <w:color w:val="auto"/>
                <w:sz w:val="22"/>
                <w:szCs w:val="22"/>
                <w:highlight w:val="none"/>
              </w:rPr>
              <w:t>17</w:t>
            </w:r>
          </w:p>
        </w:tc>
        <w:tc>
          <w:tcPr>
            <w:tcW w:w="2091" w:type="dxa"/>
            <w:tcBorders>
              <w:top w:val="single" w:color="auto" w:sz="4" w:space="0"/>
              <w:left w:val="single" w:color="auto" w:sz="4" w:space="0"/>
              <w:bottom w:val="single" w:color="auto" w:sz="4" w:space="0"/>
              <w:right w:val="single" w:color="auto" w:sz="4" w:space="0"/>
            </w:tcBorders>
            <w:vAlign w:val="center"/>
          </w:tcPr>
          <w:p w14:paraId="539C6EC7">
            <w:pPr>
              <w:pStyle w:val="42"/>
              <w:widowControl w:val="0"/>
              <w:spacing w:before="0" w:beforeAutospacing="0" w:after="0" w:afterAutospacing="0" w:line="360" w:lineRule="auto"/>
              <w:jc w:val="center"/>
              <w:rPr>
                <w:rStyle w:val="22"/>
                <w:rFonts w:hint="eastAsia" w:cs="宋体"/>
                <w:b w:val="0"/>
                <w:color w:val="auto"/>
                <w:sz w:val="22"/>
                <w:szCs w:val="22"/>
                <w:highlight w:val="none"/>
              </w:rPr>
            </w:pPr>
            <w:r>
              <w:rPr>
                <w:rStyle w:val="22"/>
                <w:rFonts w:hint="eastAsia" w:hAnsi="Times New Roman" w:cs="宋体"/>
                <w:b w:val="0"/>
                <w:color w:val="auto"/>
                <w:sz w:val="22"/>
                <w:szCs w:val="22"/>
                <w:highlight w:val="none"/>
              </w:rPr>
              <w:t>资格审查方式</w:t>
            </w:r>
          </w:p>
        </w:tc>
        <w:tc>
          <w:tcPr>
            <w:tcW w:w="7118" w:type="dxa"/>
            <w:tcBorders>
              <w:top w:val="single" w:color="auto" w:sz="4" w:space="0"/>
              <w:left w:val="single" w:color="auto" w:sz="4" w:space="0"/>
              <w:bottom w:val="single" w:color="auto" w:sz="4" w:space="0"/>
              <w:right w:val="single" w:color="auto" w:sz="4" w:space="0"/>
            </w:tcBorders>
            <w:vAlign w:val="center"/>
          </w:tcPr>
          <w:p w14:paraId="33529D30">
            <w:pPr>
              <w:widowControl w:val="0"/>
              <w:kinsoku/>
              <w:autoSpaceDE/>
              <w:autoSpaceDN/>
              <w:adjustRightInd/>
              <w:snapToGrid/>
              <w:spacing w:line="360" w:lineRule="auto"/>
              <w:ind w:firstLine="442" w:firstLineChars="200"/>
              <w:textAlignment w:val="auto"/>
              <w:rPr>
                <w:rStyle w:val="22"/>
                <w:rFonts w:hint="eastAsia" w:ascii="宋体" w:hAnsi="宋体" w:eastAsia="宋体" w:cs="宋体"/>
                <w:bCs w:val="0"/>
                <w:snapToGrid/>
                <w:color w:val="auto"/>
                <w:sz w:val="22"/>
                <w:szCs w:val="22"/>
                <w:highlight w:val="none"/>
                <w:lang w:eastAsia="zh-CN"/>
              </w:rPr>
            </w:pPr>
            <w:r>
              <w:rPr>
                <w:rFonts w:hint="eastAsia" w:ascii="宋体" w:hAnsi="宋体" w:eastAsia="宋体" w:cs="宋体"/>
                <w:b/>
                <w:snapToGrid/>
                <w:color w:val="auto"/>
                <w:sz w:val="22"/>
                <w:szCs w:val="22"/>
                <w:highlight w:val="none"/>
                <w:lang w:eastAsia="zh-CN"/>
              </w:rPr>
              <w:t>□</w:t>
            </w:r>
            <w:r>
              <w:rPr>
                <w:rStyle w:val="22"/>
                <w:rFonts w:hint="eastAsia" w:ascii="宋体" w:hAnsi="宋体" w:eastAsia="宋体" w:cs="宋体"/>
                <w:b w:val="0"/>
                <w:bCs w:val="0"/>
                <w:snapToGrid/>
                <w:color w:val="auto"/>
                <w:sz w:val="22"/>
                <w:szCs w:val="22"/>
                <w:highlight w:val="none"/>
                <w:lang w:eastAsia="zh-CN"/>
              </w:rPr>
              <w:t>资格预审</w:t>
            </w:r>
            <w:r>
              <w:rPr>
                <w:rFonts w:hint="eastAsia" w:ascii="宋体" w:hAnsi="宋体" w:eastAsia="宋体" w:cs="宋体"/>
                <w:snapToGrid/>
                <w:color w:val="auto"/>
                <w:sz w:val="22"/>
                <w:szCs w:val="22"/>
                <w:highlight w:val="none"/>
                <w:lang w:eastAsia="zh-CN"/>
              </w:rPr>
              <w:t>☑资格后审</w:t>
            </w:r>
          </w:p>
        </w:tc>
      </w:tr>
      <w:tr w14:paraId="2CEDF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69FA6C9">
            <w:pPr>
              <w:pStyle w:val="42"/>
              <w:spacing w:before="0" w:beforeAutospacing="0" w:after="0" w:afterAutospacing="0"/>
              <w:ind w:firstLine="220" w:firstLineChars="100"/>
              <w:rPr>
                <w:rFonts w:hint="eastAsia" w:cs="宋体"/>
                <w:color w:val="auto"/>
                <w:sz w:val="22"/>
                <w:szCs w:val="22"/>
                <w:highlight w:val="none"/>
              </w:rPr>
            </w:pPr>
            <w:r>
              <w:rPr>
                <w:rFonts w:hint="eastAsia" w:cs="宋体"/>
                <w:color w:val="auto"/>
                <w:sz w:val="22"/>
                <w:szCs w:val="22"/>
                <w:highlight w:val="none"/>
              </w:rPr>
              <w:t>18</w:t>
            </w:r>
          </w:p>
        </w:tc>
        <w:tc>
          <w:tcPr>
            <w:tcW w:w="2091" w:type="dxa"/>
            <w:tcBorders>
              <w:top w:val="single" w:color="auto" w:sz="4" w:space="0"/>
              <w:left w:val="single" w:color="auto" w:sz="4" w:space="0"/>
              <w:bottom w:val="single" w:color="auto" w:sz="4" w:space="0"/>
              <w:right w:val="single" w:color="auto" w:sz="4" w:space="0"/>
            </w:tcBorders>
            <w:vAlign w:val="center"/>
          </w:tcPr>
          <w:p w14:paraId="45CE48E2">
            <w:pPr>
              <w:pStyle w:val="42"/>
              <w:spacing w:before="0" w:beforeAutospacing="0" w:after="0" w:afterAutospacing="0"/>
              <w:jc w:val="center"/>
              <w:rPr>
                <w:rFonts w:hint="eastAsia" w:cs="宋体"/>
                <w:bCs/>
                <w:color w:val="auto"/>
                <w:sz w:val="22"/>
                <w:szCs w:val="22"/>
                <w:highlight w:val="none"/>
              </w:rPr>
            </w:pPr>
            <w:r>
              <w:rPr>
                <w:rFonts w:hint="eastAsia" w:cs="宋体"/>
                <w:bCs/>
                <w:color w:val="auto"/>
                <w:sz w:val="22"/>
                <w:szCs w:val="22"/>
                <w:highlight w:val="none"/>
              </w:rPr>
              <w:t>投标人资质等级要求</w:t>
            </w:r>
          </w:p>
        </w:tc>
        <w:tc>
          <w:tcPr>
            <w:tcW w:w="7118" w:type="dxa"/>
            <w:tcBorders>
              <w:top w:val="single" w:color="auto" w:sz="4" w:space="0"/>
              <w:left w:val="single" w:color="auto" w:sz="4" w:space="0"/>
              <w:bottom w:val="single" w:color="auto" w:sz="4" w:space="0"/>
              <w:right w:val="single" w:color="auto" w:sz="4" w:space="0"/>
            </w:tcBorders>
            <w:vAlign w:val="center"/>
          </w:tcPr>
          <w:p w14:paraId="15CED41B">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1、投标人须同时具备以下资质要求：</w:t>
            </w:r>
          </w:p>
          <w:p w14:paraId="3AABC6A8">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（1）设计资质要求：须满足以下条件之一</w:t>
            </w:r>
          </w:p>
          <w:p w14:paraId="6AF0F35F">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①工程设计综合甲级资质；</w:t>
            </w:r>
          </w:p>
          <w:p w14:paraId="38B56345">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②工程设计市政行业甲级资质；</w:t>
            </w:r>
          </w:p>
          <w:p w14:paraId="21AE2D4D">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③工程设计市政行业专业甲级资质；</w:t>
            </w:r>
          </w:p>
          <w:p w14:paraId="7FF11753">
            <w:pPr>
              <w:widowControl w:val="0"/>
              <w:kinsoku/>
              <w:autoSpaceDE/>
              <w:autoSpaceDN/>
              <w:adjustRightInd/>
              <w:snapToGrid/>
              <w:spacing w:line="360" w:lineRule="auto"/>
              <w:ind w:firstLine="440" w:firstLineChars="200"/>
              <w:textAlignment w:val="auto"/>
              <w:rPr>
                <w:rFonts w:hint="eastAsia" w:ascii="宋体" w:hAnsi="宋体" w:eastAsia="宋体" w:cs="宋体"/>
                <w:b/>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（2）施工资质要求：①具备市政公用工程施工总承包二级及以上资质，同时具备有效的安全生产许可证。②具备</w:t>
            </w:r>
            <w:r>
              <w:rPr>
                <w:rFonts w:hint="eastAsia" w:ascii="宋体" w:hAnsi="宋体" w:eastAsia="宋体" w:cs="宋体"/>
                <w:snapToGrid/>
                <w:color w:val="auto"/>
                <w:sz w:val="22"/>
                <w:szCs w:val="22"/>
                <w:highlight w:val="none"/>
                <w:lang w:val="en-US" w:eastAsia="zh-CN"/>
              </w:rPr>
              <w:t>环保</w:t>
            </w:r>
            <w:r>
              <w:rPr>
                <w:rFonts w:hint="eastAsia" w:ascii="宋体" w:hAnsi="宋体" w:eastAsia="宋体" w:cs="宋体"/>
                <w:snapToGrid/>
                <w:color w:val="auto"/>
                <w:sz w:val="22"/>
                <w:szCs w:val="22"/>
                <w:highlight w:val="none"/>
                <w:lang w:eastAsia="zh-CN"/>
              </w:rPr>
              <w:t>工程</w:t>
            </w:r>
            <w:r>
              <w:rPr>
                <w:rFonts w:hint="eastAsia" w:ascii="宋体" w:hAnsi="宋体" w:eastAsia="宋体" w:cs="宋体"/>
                <w:snapToGrid/>
                <w:color w:val="auto"/>
                <w:sz w:val="22"/>
                <w:szCs w:val="22"/>
                <w:highlight w:val="none"/>
                <w:lang w:val="en-US" w:eastAsia="zh-CN"/>
              </w:rPr>
              <w:t>专业</w:t>
            </w:r>
            <w:r>
              <w:rPr>
                <w:rFonts w:hint="eastAsia" w:ascii="宋体" w:hAnsi="宋体" w:eastAsia="宋体" w:cs="宋体"/>
                <w:snapToGrid/>
                <w:color w:val="auto"/>
                <w:sz w:val="22"/>
                <w:szCs w:val="22"/>
                <w:highlight w:val="none"/>
                <w:lang w:eastAsia="zh-CN"/>
              </w:rPr>
              <w:t>承包二级及以上资质，同时具备有效的安全生产许可证。</w:t>
            </w:r>
          </w:p>
        </w:tc>
      </w:tr>
      <w:tr w14:paraId="2C807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F6FD1BB">
            <w:pPr>
              <w:pStyle w:val="42"/>
              <w:spacing w:before="0" w:beforeAutospacing="0" w:after="0" w:afterAutospacing="0"/>
              <w:ind w:firstLine="220" w:firstLineChars="100"/>
              <w:rPr>
                <w:rFonts w:hint="eastAsia" w:cs="宋体"/>
                <w:color w:val="auto"/>
                <w:sz w:val="22"/>
                <w:szCs w:val="22"/>
                <w:highlight w:val="none"/>
              </w:rPr>
            </w:pPr>
            <w:r>
              <w:rPr>
                <w:rFonts w:hint="eastAsia" w:cs="宋体"/>
                <w:color w:val="auto"/>
                <w:sz w:val="22"/>
                <w:szCs w:val="22"/>
                <w:highlight w:val="none"/>
              </w:rPr>
              <w:t>19</w:t>
            </w:r>
          </w:p>
        </w:tc>
        <w:tc>
          <w:tcPr>
            <w:tcW w:w="2091" w:type="dxa"/>
            <w:tcBorders>
              <w:top w:val="single" w:color="auto" w:sz="4" w:space="0"/>
              <w:left w:val="single" w:color="auto" w:sz="4" w:space="0"/>
              <w:bottom w:val="single" w:color="auto" w:sz="4" w:space="0"/>
              <w:right w:val="single" w:color="auto" w:sz="4" w:space="0"/>
            </w:tcBorders>
            <w:vAlign w:val="center"/>
          </w:tcPr>
          <w:p w14:paraId="3FCDCDAC">
            <w:pPr>
              <w:widowControl w:val="0"/>
              <w:kinsoku/>
              <w:autoSpaceDE/>
              <w:autoSpaceDN/>
              <w:spacing w:line="360" w:lineRule="auto"/>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投标人设计负责人、项目经理资质要求及项目班子要求</w:t>
            </w:r>
          </w:p>
        </w:tc>
        <w:tc>
          <w:tcPr>
            <w:tcW w:w="7118" w:type="dxa"/>
            <w:tcBorders>
              <w:top w:val="single" w:color="auto" w:sz="4" w:space="0"/>
              <w:left w:val="single" w:color="auto" w:sz="4" w:space="0"/>
              <w:bottom w:val="single" w:color="auto" w:sz="4" w:space="0"/>
              <w:right w:val="single" w:color="auto" w:sz="4" w:space="0"/>
            </w:tcBorders>
            <w:vAlign w:val="center"/>
          </w:tcPr>
          <w:p w14:paraId="5558180C">
            <w:pPr>
              <w:widowControl w:val="0"/>
              <w:kinsoku/>
              <w:autoSpaceDE/>
              <w:autoSpaceDN/>
              <w:adjustRightInd/>
              <w:snapToGrid/>
              <w:spacing w:line="360" w:lineRule="auto"/>
              <w:ind w:firstLine="442"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
                <w:bCs/>
                <w:snapToGrid/>
                <w:color w:val="auto"/>
                <w:sz w:val="22"/>
                <w:szCs w:val="22"/>
                <w:highlight w:val="none"/>
                <w:lang w:eastAsia="zh-CN"/>
              </w:rPr>
              <w:t>设计负责人资质要求：</w:t>
            </w:r>
            <w:r>
              <w:rPr>
                <w:rFonts w:hint="eastAsia" w:ascii="宋体" w:hAnsi="宋体" w:eastAsia="宋体" w:cs="宋体"/>
                <w:snapToGrid/>
                <w:color w:val="auto"/>
                <w:sz w:val="22"/>
                <w:szCs w:val="22"/>
                <w:highlight w:val="none"/>
                <w:lang w:eastAsia="zh-CN"/>
              </w:rPr>
              <w:t>须具有市政公用工程相关专业高级及以上工程师职称。联合体投标的，设计负责人由承担设计任务的一方提供。</w:t>
            </w:r>
          </w:p>
          <w:p w14:paraId="2F9F7906">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注：①联合体投标的拟委任设计负责人须为联合体中承担设计职责方人员；</w:t>
            </w:r>
          </w:p>
          <w:p w14:paraId="13F2ADE7">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②设计负责人的专业以职称证书上所注明专业为准，如职称证书未注明专业，提供相关学历证书，以学历证书上所学专业为准。</w:t>
            </w:r>
          </w:p>
          <w:p w14:paraId="60063EC6">
            <w:pPr>
              <w:widowControl w:val="0"/>
              <w:kinsoku/>
              <w:autoSpaceDE/>
              <w:autoSpaceDN/>
              <w:adjustRightInd/>
              <w:snapToGrid/>
              <w:spacing w:line="360" w:lineRule="auto"/>
              <w:ind w:firstLine="442"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
                <w:bCs/>
                <w:snapToGrid/>
                <w:color w:val="auto"/>
                <w:sz w:val="22"/>
                <w:szCs w:val="22"/>
                <w:highlight w:val="none"/>
                <w:lang w:eastAsia="zh-CN"/>
              </w:rPr>
              <w:t>项目经理资质要求：</w:t>
            </w:r>
            <w:r>
              <w:rPr>
                <w:rFonts w:hint="eastAsia" w:ascii="宋体" w:hAnsi="宋体" w:eastAsia="宋体" w:cs="宋体"/>
                <w:snapToGrid/>
                <w:color w:val="auto"/>
                <w:sz w:val="22"/>
                <w:szCs w:val="22"/>
                <w:highlight w:val="none"/>
                <w:lang w:eastAsia="zh-CN"/>
              </w:rPr>
              <w:t>投标人拟委任的项目经理须具备市政公用工程专业一级注册建造师执业资格，具有建设行政主管部门颁发的有效的安全生产考核合格证书（B类）。联合体投标的，项目经理由承担施工任务的一方提供。</w:t>
            </w:r>
          </w:p>
          <w:p w14:paraId="6AA3132F">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注：①联合体投标的项目经理须为牵头方人员；②须提供注册建造师注</w:t>
            </w:r>
            <w:r>
              <w:rPr>
                <w:rFonts w:hint="eastAsia" w:ascii="宋体" w:hAnsi="宋体" w:eastAsia="宋体" w:cs="宋体"/>
                <w:bCs/>
                <w:snapToGrid/>
                <w:color w:val="auto"/>
                <w:sz w:val="22"/>
                <w:szCs w:val="22"/>
                <w:highlight w:val="none"/>
                <w:lang w:eastAsia="zh-CN"/>
              </w:rPr>
              <w:t>册证书，注册证书须注册在投标人所在单位；③须提供有效的安全生产考核合格B证。</w:t>
            </w:r>
          </w:p>
          <w:p w14:paraId="35BF2EBA">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其它要求：（</w:t>
            </w:r>
            <w:r>
              <w:rPr>
                <w:rFonts w:hint="eastAsia" w:ascii="宋体" w:hAnsi="宋体" w:eastAsia="宋体" w:cs="宋体"/>
                <w:bCs/>
                <w:snapToGrid/>
                <w:color w:val="auto"/>
                <w:sz w:val="22"/>
                <w:szCs w:val="22"/>
                <w:highlight w:val="none"/>
                <w:lang w:val="en-US" w:eastAsia="zh-CN"/>
              </w:rPr>
              <w:t>1</w:t>
            </w:r>
            <w:r>
              <w:rPr>
                <w:rFonts w:hint="eastAsia" w:ascii="宋体" w:hAnsi="宋体" w:eastAsia="宋体" w:cs="宋体"/>
                <w:bCs/>
                <w:snapToGrid/>
                <w:color w:val="auto"/>
                <w:sz w:val="22"/>
                <w:szCs w:val="22"/>
                <w:highlight w:val="none"/>
                <w:lang w:eastAsia="zh-CN"/>
              </w:rPr>
              <w:t>）投标项目经理、</w:t>
            </w:r>
            <w:r>
              <w:rPr>
                <w:rFonts w:hint="eastAsia" w:ascii="宋体" w:hAnsi="宋体" w:eastAsia="宋体" w:cs="宋体"/>
                <w:bCs/>
                <w:snapToGrid/>
                <w:color w:val="auto"/>
                <w:sz w:val="22"/>
                <w:szCs w:val="22"/>
                <w:highlight w:val="none"/>
                <w:lang w:val="en-US" w:eastAsia="zh-CN"/>
              </w:rPr>
              <w:t>设计负责人</w:t>
            </w:r>
            <w:r>
              <w:rPr>
                <w:rFonts w:hint="eastAsia" w:ascii="宋体" w:hAnsi="宋体" w:eastAsia="宋体" w:cs="宋体"/>
                <w:bCs/>
                <w:snapToGrid/>
                <w:color w:val="auto"/>
                <w:sz w:val="22"/>
                <w:szCs w:val="22"/>
                <w:highlight w:val="none"/>
                <w:lang w:eastAsia="zh-CN"/>
              </w:rPr>
              <w:t>和技术负责人必须是投标人本单位工作人员，投标项目经理不得在其他在建工程（含已中标的待建工程）中担任项目经理、技术负责人、安全员、施工员、质量员，否则，已中标的取消该投标人中标资格。</w:t>
            </w:r>
          </w:p>
          <w:p w14:paraId="6007D3B8">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w:t>
            </w:r>
            <w:r>
              <w:rPr>
                <w:rFonts w:hint="eastAsia" w:ascii="宋体" w:hAnsi="宋体" w:eastAsia="宋体" w:cs="宋体"/>
                <w:bCs/>
                <w:snapToGrid/>
                <w:color w:val="auto"/>
                <w:sz w:val="22"/>
                <w:szCs w:val="22"/>
                <w:highlight w:val="none"/>
                <w:lang w:val="en-US" w:eastAsia="zh-CN"/>
              </w:rPr>
              <w:t>2</w:t>
            </w:r>
            <w:r>
              <w:rPr>
                <w:rFonts w:hint="eastAsia" w:ascii="宋体" w:hAnsi="宋体" w:eastAsia="宋体" w:cs="宋体"/>
                <w:bCs/>
                <w:snapToGrid/>
                <w:color w:val="auto"/>
                <w:sz w:val="22"/>
                <w:szCs w:val="22"/>
                <w:highlight w:val="none"/>
                <w:lang w:eastAsia="zh-CN"/>
              </w:rPr>
              <w:t>）拟投本项目的投标项目经理在参与本项目投标前已有在建工程或有中标待建工程（无论市内、市外工程），项目经理发生变更的，至少须在投标截止时间前一日已办理完成变更了《施工许可证》</w:t>
            </w:r>
            <w:r>
              <w:rPr>
                <w:rFonts w:hint="eastAsia" w:ascii="宋体" w:hAnsi="宋体" w:eastAsia="宋体" w:cs="宋体"/>
                <w:bCs/>
                <w:snapToGrid/>
                <w:color w:val="auto"/>
                <w:sz w:val="22"/>
                <w:szCs w:val="22"/>
                <w:highlight w:val="none"/>
                <w:lang w:val="en-US" w:eastAsia="zh-CN"/>
              </w:rPr>
              <w:t>或业主出具的证明材料</w:t>
            </w:r>
            <w:r>
              <w:rPr>
                <w:rFonts w:hint="eastAsia" w:ascii="宋体" w:hAnsi="宋体" w:eastAsia="宋体" w:cs="宋体"/>
                <w:bCs/>
                <w:snapToGrid/>
                <w:color w:val="auto"/>
                <w:sz w:val="22"/>
                <w:szCs w:val="22"/>
                <w:highlight w:val="none"/>
                <w:lang w:eastAsia="zh-CN"/>
              </w:rPr>
              <w:t>，变更时间以《施工许可证》</w:t>
            </w:r>
            <w:r>
              <w:rPr>
                <w:rFonts w:hint="eastAsia" w:ascii="宋体" w:hAnsi="宋体" w:eastAsia="宋体" w:cs="宋体"/>
                <w:bCs/>
                <w:snapToGrid/>
                <w:color w:val="auto"/>
                <w:sz w:val="22"/>
                <w:szCs w:val="22"/>
                <w:highlight w:val="none"/>
                <w:lang w:val="en-US" w:eastAsia="zh-CN"/>
              </w:rPr>
              <w:t>或业主出具的证明材料</w:t>
            </w:r>
            <w:r>
              <w:rPr>
                <w:rFonts w:hint="eastAsia" w:ascii="宋体" w:hAnsi="宋体" w:eastAsia="宋体" w:cs="宋体"/>
                <w:bCs/>
                <w:snapToGrid/>
                <w:color w:val="auto"/>
                <w:sz w:val="22"/>
                <w:szCs w:val="22"/>
                <w:highlight w:val="none"/>
                <w:lang w:eastAsia="zh-CN"/>
              </w:rPr>
              <w:t>发放时间为准）。</w:t>
            </w:r>
          </w:p>
          <w:p w14:paraId="1618DFC3">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变更后的《施工许可证》《竣工验收报告》</w:t>
            </w:r>
            <w:r>
              <w:rPr>
                <w:rFonts w:hint="eastAsia" w:ascii="宋体" w:hAnsi="宋体" w:eastAsia="宋体" w:cs="宋体"/>
                <w:bCs/>
                <w:snapToGrid/>
                <w:color w:val="auto"/>
                <w:sz w:val="22"/>
                <w:szCs w:val="22"/>
                <w:highlight w:val="none"/>
                <w:lang w:val="en-US" w:eastAsia="zh-CN"/>
              </w:rPr>
              <w:t>或业主出具的证明材料</w:t>
            </w:r>
            <w:r>
              <w:rPr>
                <w:rFonts w:hint="eastAsia" w:ascii="宋体" w:hAnsi="宋体" w:eastAsia="宋体" w:cs="宋体"/>
                <w:bCs/>
                <w:snapToGrid/>
                <w:color w:val="auto"/>
                <w:sz w:val="22"/>
                <w:szCs w:val="22"/>
                <w:highlight w:val="none"/>
                <w:lang w:eastAsia="zh-CN"/>
              </w:rPr>
              <w:t>等相关材料投标时无需提供，如有异议、投诉等情况时，须在招标人、招标投标监管部门限定的期限内提供，否则由招标人取消该投标人中标候选人资格。</w:t>
            </w:r>
          </w:p>
        </w:tc>
      </w:tr>
      <w:tr w14:paraId="2D5E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764661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20</w:t>
            </w:r>
          </w:p>
        </w:tc>
        <w:tc>
          <w:tcPr>
            <w:tcW w:w="2091" w:type="dxa"/>
            <w:tcBorders>
              <w:top w:val="single" w:color="auto" w:sz="4" w:space="0"/>
              <w:left w:val="single" w:color="auto" w:sz="4" w:space="0"/>
              <w:bottom w:val="single" w:color="auto" w:sz="4" w:space="0"/>
              <w:right w:val="single" w:color="auto" w:sz="4" w:space="0"/>
            </w:tcBorders>
            <w:vAlign w:val="center"/>
          </w:tcPr>
          <w:p w14:paraId="41AEA4C7">
            <w:pPr>
              <w:widowControl w:val="0"/>
              <w:kinsoku/>
              <w:autoSpaceDE/>
              <w:autoSpaceDN/>
              <w:adjustRightInd/>
              <w:snapToGrid/>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投标人的替代方案</w:t>
            </w:r>
          </w:p>
        </w:tc>
        <w:tc>
          <w:tcPr>
            <w:tcW w:w="7118" w:type="dxa"/>
            <w:tcBorders>
              <w:top w:val="single" w:color="auto" w:sz="4" w:space="0"/>
              <w:left w:val="single" w:color="auto" w:sz="4" w:space="0"/>
              <w:bottom w:val="single" w:color="auto" w:sz="4" w:space="0"/>
              <w:right w:val="single" w:color="auto" w:sz="4" w:space="0"/>
            </w:tcBorders>
            <w:vAlign w:val="center"/>
          </w:tcPr>
          <w:p w14:paraId="63F44740">
            <w:pPr>
              <w:pStyle w:val="8"/>
              <w:widowControl/>
              <w:adjustRightInd/>
              <w:spacing w:line="300" w:lineRule="exact"/>
              <w:ind w:firstLine="440" w:firstLineChars="200"/>
              <w:rPr>
                <w:rFonts w:hint="eastAsia" w:hAnsi="宋体" w:cs="宋体"/>
                <w:bCs/>
                <w:color w:val="auto"/>
                <w:sz w:val="22"/>
                <w:szCs w:val="22"/>
                <w:highlight w:val="none"/>
              </w:rPr>
            </w:pPr>
            <w:r>
              <w:rPr>
                <w:rFonts w:hint="eastAsia" w:hAnsi="宋体" w:cs="宋体"/>
                <w:bCs/>
                <w:color w:val="auto"/>
                <w:sz w:val="22"/>
                <w:szCs w:val="22"/>
                <w:highlight w:val="none"/>
              </w:rPr>
              <w:t>不采用</w:t>
            </w:r>
          </w:p>
        </w:tc>
      </w:tr>
      <w:tr w14:paraId="7926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3734D2F">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21</w:t>
            </w:r>
          </w:p>
        </w:tc>
        <w:tc>
          <w:tcPr>
            <w:tcW w:w="2091" w:type="dxa"/>
            <w:tcBorders>
              <w:top w:val="single" w:color="auto" w:sz="4" w:space="0"/>
              <w:left w:val="single" w:color="auto" w:sz="4" w:space="0"/>
              <w:bottom w:val="single" w:color="auto" w:sz="4" w:space="0"/>
              <w:right w:val="single" w:color="auto" w:sz="4" w:space="0"/>
            </w:tcBorders>
            <w:vAlign w:val="center"/>
          </w:tcPr>
          <w:p w14:paraId="4964CF87">
            <w:pPr>
              <w:widowControl w:val="0"/>
              <w:kinsoku/>
              <w:autoSpaceDE/>
              <w:autoSpaceDN/>
              <w:spacing w:line="300" w:lineRule="exact"/>
              <w:jc w:val="center"/>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投标文件</w:t>
            </w:r>
          </w:p>
        </w:tc>
        <w:tc>
          <w:tcPr>
            <w:tcW w:w="7118" w:type="dxa"/>
            <w:tcBorders>
              <w:top w:val="single" w:color="auto" w:sz="4" w:space="0"/>
              <w:left w:val="single" w:color="auto" w:sz="4" w:space="0"/>
              <w:bottom w:val="single" w:color="auto" w:sz="4" w:space="0"/>
              <w:right w:val="single" w:color="auto" w:sz="4" w:space="0"/>
            </w:tcBorders>
            <w:vAlign w:val="center"/>
          </w:tcPr>
          <w:p w14:paraId="3B7A4483">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1、加密电子版投标文件（通过六安市公共资源交易平台投标人系统上传）。</w:t>
            </w:r>
          </w:p>
          <w:p w14:paraId="5CA32097">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2、投标人一旦被确定为预中标人，在领取中标通知书之前，应立即向招标人提供与项目评标时所使用的电子版投标文件相同的纸质版投标文件（一正五副并加盖单位公章）。如若提供的纸质版投标文件与电子版不符，将视其为弄虚作假，并取消其中标资格。</w:t>
            </w:r>
          </w:p>
        </w:tc>
      </w:tr>
      <w:tr w14:paraId="11365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A9519E4">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22</w:t>
            </w:r>
          </w:p>
        </w:tc>
        <w:tc>
          <w:tcPr>
            <w:tcW w:w="2091" w:type="dxa"/>
            <w:tcBorders>
              <w:top w:val="single" w:color="auto" w:sz="4" w:space="0"/>
              <w:left w:val="single" w:color="auto" w:sz="4" w:space="0"/>
              <w:bottom w:val="single" w:color="auto" w:sz="4" w:space="0"/>
              <w:right w:val="single" w:color="auto" w:sz="4" w:space="0"/>
            </w:tcBorders>
            <w:vAlign w:val="center"/>
          </w:tcPr>
          <w:p w14:paraId="550F10AD">
            <w:pPr>
              <w:pStyle w:val="42"/>
              <w:widowControl w:val="0"/>
              <w:spacing w:before="0" w:beforeAutospacing="0" w:after="0" w:afterAutospacing="0" w:line="300" w:lineRule="exact"/>
              <w:jc w:val="center"/>
              <w:rPr>
                <w:rFonts w:hint="eastAsia" w:cs="宋体"/>
                <w:bCs/>
                <w:color w:val="auto"/>
                <w:sz w:val="22"/>
                <w:szCs w:val="22"/>
                <w:highlight w:val="none"/>
              </w:rPr>
            </w:pPr>
            <w:r>
              <w:rPr>
                <w:rFonts w:hint="eastAsia" w:cs="宋体"/>
                <w:bCs/>
                <w:color w:val="auto"/>
                <w:sz w:val="22"/>
                <w:szCs w:val="22"/>
                <w:highlight w:val="none"/>
              </w:rPr>
              <w:t>投标有效期</w:t>
            </w:r>
          </w:p>
        </w:tc>
        <w:tc>
          <w:tcPr>
            <w:tcW w:w="7118" w:type="dxa"/>
            <w:tcBorders>
              <w:top w:val="single" w:color="auto" w:sz="4" w:space="0"/>
              <w:left w:val="single" w:color="auto" w:sz="4" w:space="0"/>
              <w:bottom w:val="single" w:color="auto" w:sz="4" w:space="0"/>
              <w:right w:val="single" w:color="auto" w:sz="4" w:space="0"/>
            </w:tcBorders>
            <w:vAlign w:val="center"/>
          </w:tcPr>
          <w:p w14:paraId="3DFF9650">
            <w:pPr>
              <w:pStyle w:val="42"/>
              <w:spacing w:before="0" w:beforeAutospacing="0" w:after="0" w:afterAutospacing="0" w:line="300" w:lineRule="exact"/>
              <w:ind w:firstLine="440" w:firstLineChars="200"/>
              <w:rPr>
                <w:rFonts w:hint="eastAsia" w:cs="宋体"/>
                <w:color w:val="auto"/>
                <w:sz w:val="22"/>
                <w:szCs w:val="22"/>
                <w:highlight w:val="none"/>
              </w:rPr>
            </w:pPr>
            <w:r>
              <w:rPr>
                <w:rFonts w:hint="eastAsia" w:cs="宋体"/>
                <w:color w:val="auto"/>
                <w:sz w:val="22"/>
                <w:szCs w:val="22"/>
                <w:highlight w:val="none"/>
              </w:rPr>
              <w:t>投标文件提交截止时间后：90天内有效。</w:t>
            </w:r>
          </w:p>
        </w:tc>
      </w:tr>
      <w:tr w14:paraId="600E3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BB1BB9B">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23</w:t>
            </w:r>
          </w:p>
        </w:tc>
        <w:tc>
          <w:tcPr>
            <w:tcW w:w="2091" w:type="dxa"/>
            <w:tcBorders>
              <w:top w:val="single" w:color="auto" w:sz="4" w:space="0"/>
              <w:left w:val="single" w:color="auto" w:sz="4" w:space="0"/>
              <w:bottom w:val="single" w:color="auto" w:sz="4" w:space="0"/>
              <w:right w:val="single" w:color="auto" w:sz="4" w:space="0"/>
            </w:tcBorders>
            <w:vAlign w:val="center"/>
          </w:tcPr>
          <w:p w14:paraId="1C771C07">
            <w:pPr>
              <w:pStyle w:val="42"/>
              <w:widowControl w:val="0"/>
              <w:spacing w:before="0" w:beforeAutospacing="0" w:after="0" w:afterAutospacing="0" w:line="360" w:lineRule="auto"/>
              <w:ind w:firstLine="440" w:firstLineChars="200"/>
              <w:jc w:val="center"/>
              <w:rPr>
                <w:rStyle w:val="22"/>
                <w:rFonts w:hint="eastAsia" w:cs="宋体"/>
                <w:b w:val="0"/>
                <w:color w:val="auto"/>
                <w:sz w:val="22"/>
                <w:szCs w:val="22"/>
                <w:highlight w:val="none"/>
              </w:rPr>
            </w:pPr>
            <w:r>
              <w:rPr>
                <w:rStyle w:val="22"/>
                <w:rFonts w:hint="eastAsia" w:hAnsi="Times New Roman" w:cs="宋体"/>
                <w:b w:val="0"/>
                <w:color w:val="auto"/>
                <w:sz w:val="22"/>
                <w:szCs w:val="22"/>
                <w:highlight w:val="none"/>
              </w:rPr>
              <w:t>投标人投标保证金</w:t>
            </w:r>
          </w:p>
        </w:tc>
        <w:tc>
          <w:tcPr>
            <w:tcW w:w="7118" w:type="dxa"/>
            <w:tcBorders>
              <w:top w:val="single" w:color="auto" w:sz="4" w:space="0"/>
              <w:left w:val="single" w:color="auto" w:sz="4" w:space="0"/>
              <w:bottom w:val="single" w:color="auto" w:sz="4" w:space="0"/>
              <w:right w:val="single" w:color="auto" w:sz="4" w:space="0"/>
            </w:tcBorders>
          </w:tcPr>
          <w:p w14:paraId="207AEF9E">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1、投标保证金数额：人民币50万元整。</w:t>
            </w:r>
          </w:p>
          <w:p w14:paraId="27474748">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2、是否要求投标人递交投标保证金：</w:t>
            </w:r>
          </w:p>
          <w:p w14:paraId="7486688C">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□免收,投标人须填写投标文件格式中免缴投标保证金承诺函。否则，投标无效。</w:t>
            </w:r>
          </w:p>
          <w:p w14:paraId="6365C96E">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☑递交</w:t>
            </w:r>
          </w:p>
          <w:p w14:paraId="52ED637E">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3、投标保证金允许方式(由招标人自行选择具体方式)：</w:t>
            </w:r>
          </w:p>
          <w:p w14:paraId="780EAD24">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第一种方式：</w:t>
            </w:r>
            <w:r>
              <w:rPr>
                <w:rFonts w:hint="eastAsia" w:ascii="宋体" w:hAnsi="仿宋_GB2312" w:eastAsia="宋体" w:cs="仿宋_GB2312"/>
                <w:snapToGrid/>
                <w:color w:val="auto"/>
                <w:sz w:val="22"/>
                <w:szCs w:val="18"/>
                <w:highlight w:val="none"/>
                <w:lang w:eastAsia="zh-CN"/>
              </w:rPr>
              <w:sym w:font="Wingdings" w:char="F0FE"/>
            </w:r>
            <w:r>
              <w:rPr>
                <w:rFonts w:hint="eastAsia" w:ascii="宋体" w:hAnsi="宋体" w:eastAsia="宋体" w:cs="宋体"/>
                <w:bCs/>
                <w:snapToGrid/>
                <w:color w:val="auto"/>
                <w:sz w:val="22"/>
                <w:szCs w:val="22"/>
                <w:highlight w:val="none"/>
                <w:lang w:eastAsia="zh-CN"/>
              </w:rPr>
              <w:t>网银支付</w:t>
            </w:r>
            <w:r>
              <w:rPr>
                <w:rFonts w:hint="eastAsia" w:ascii="宋体" w:hAnsi="仿宋_GB2312" w:eastAsia="宋体" w:cs="仿宋_GB2312"/>
                <w:snapToGrid/>
                <w:color w:val="auto"/>
                <w:sz w:val="22"/>
                <w:szCs w:val="18"/>
                <w:highlight w:val="none"/>
                <w:lang w:eastAsia="zh-CN"/>
              </w:rPr>
              <w:sym w:font="Wingdings" w:char="F0FE"/>
            </w:r>
            <w:r>
              <w:rPr>
                <w:rFonts w:hint="eastAsia" w:ascii="宋体" w:hAnsi="宋体" w:eastAsia="宋体" w:cs="宋体"/>
                <w:bCs/>
                <w:snapToGrid/>
                <w:color w:val="auto"/>
                <w:sz w:val="22"/>
                <w:szCs w:val="22"/>
                <w:highlight w:val="none"/>
                <w:lang w:eastAsia="zh-CN"/>
              </w:rPr>
              <w:t>银行转账</w:t>
            </w:r>
          </w:p>
          <w:p w14:paraId="66152C25">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第二种方式：</w:t>
            </w:r>
            <w:r>
              <w:rPr>
                <w:rFonts w:hint="eastAsia" w:ascii="宋体" w:hAnsi="仿宋_GB2312" w:eastAsia="宋体" w:cs="仿宋_GB2312"/>
                <w:snapToGrid/>
                <w:color w:val="auto"/>
                <w:sz w:val="22"/>
                <w:szCs w:val="18"/>
                <w:highlight w:val="none"/>
                <w:lang w:eastAsia="zh-CN"/>
              </w:rPr>
              <w:sym w:font="Wingdings" w:char="F0FE"/>
            </w:r>
            <w:r>
              <w:rPr>
                <w:rFonts w:hint="eastAsia" w:ascii="宋体" w:hAnsi="宋体" w:eastAsia="宋体" w:cs="宋体"/>
                <w:bCs/>
                <w:snapToGrid/>
                <w:color w:val="auto"/>
                <w:sz w:val="22"/>
                <w:szCs w:val="22"/>
                <w:highlight w:val="none"/>
                <w:lang w:eastAsia="zh-CN"/>
              </w:rPr>
              <w:t>纸质银行保函</w:t>
            </w:r>
            <w:r>
              <w:rPr>
                <w:rFonts w:hint="eastAsia" w:ascii="宋体" w:hAnsi="仿宋_GB2312" w:eastAsia="宋体" w:cs="仿宋_GB2312"/>
                <w:snapToGrid/>
                <w:color w:val="auto"/>
                <w:sz w:val="22"/>
                <w:szCs w:val="18"/>
                <w:highlight w:val="none"/>
                <w:lang w:eastAsia="zh-CN"/>
              </w:rPr>
              <w:sym w:font="Wingdings" w:char="F0FE"/>
            </w:r>
            <w:r>
              <w:rPr>
                <w:rFonts w:ascii="宋体" w:hAnsi="宋体" w:eastAsia="宋体" w:cs="宋体"/>
                <w:bCs/>
                <w:snapToGrid/>
                <w:color w:val="auto"/>
                <w:sz w:val="22"/>
                <w:szCs w:val="22"/>
                <w:highlight w:val="none"/>
                <w:lang w:eastAsia="zh-CN"/>
              </w:rPr>
              <w:t>纸质保证</w:t>
            </w:r>
            <w:r>
              <w:rPr>
                <w:rFonts w:hint="eastAsia" w:ascii="宋体" w:hAnsi="宋体" w:eastAsia="宋体" w:cs="宋体"/>
                <w:bCs/>
                <w:snapToGrid/>
                <w:color w:val="auto"/>
                <w:sz w:val="22"/>
                <w:szCs w:val="22"/>
                <w:highlight w:val="none"/>
                <w:lang w:eastAsia="zh-CN"/>
              </w:rPr>
              <w:t>保险、担保保函等</w:t>
            </w:r>
          </w:p>
          <w:p w14:paraId="554B8133">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第三种方式：</w:t>
            </w:r>
            <w:r>
              <w:rPr>
                <w:rFonts w:hint="eastAsia" w:ascii="宋体" w:hAnsi="仿宋_GB2312" w:eastAsia="宋体" w:cs="仿宋_GB2312"/>
                <w:snapToGrid/>
                <w:color w:val="auto"/>
                <w:sz w:val="22"/>
                <w:szCs w:val="18"/>
                <w:highlight w:val="none"/>
                <w:lang w:eastAsia="zh-CN"/>
              </w:rPr>
              <w:sym w:font="Wingdings" w:char="F0FE"/>
            </w:r>
            <w:r>
              <w:rPr>
                <w:rFonts w:hint="eastAsia" w:ascii="宋体" w:hAnsi="宋体" w:eastAsia="宋体" w:cs="宋体"/>
                <w:bCs/>
                <w:snapToGrid/>
                <w:color w:val="auto"/>
                <w:sz w:val="22"/>
                <w:szCs w:val="22"/>
                <w:highlight w:val="none"/>
                <w:lang w:eastAsia="zh-CN"/>
              </w:rPr>
              <w:t>电子银行保函☑电子保证保险、担保保函等</w:t>
            </w:r>
          </w:p>
          <w:p w14:paraId="4CA861BC">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4、递交要求：</w:t>
            </w:r>
          </w:p>
          <w:p w14:paraId="72BA4BD3">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（1）如投标人采用第一种方式（即网银支付、银行转账）递交的，根据《中华人民共和国招标投标法实施条例》第二十六条规定之精神，需遵循下列规定：</w:t>
            </w:r>
          </w:p>
          <w:p w14:paraId="6FFBD862">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①汇出银行要求。应为投标人的基本账户开户银行。</w:t>
            </w:r>
            <w:r>
              <w:rPr>
                <w:rFonts w:ascii="宋体" w:hAnsi="宋体" w:eastAsia="宋体" w:cs="宋体"/>
                <w:bCs/>
                <w:snapToGrid/>
                <w:color w:val="auto"/>
                <w:sz w:val="22"/>
                <w:szCs w:val="22"/>
                <w:highlight w:val="none"/>
                <w:lang w:eastAsia="zh-CN"/>
              </w:rPr>
              <w:t>投标人</w:t>
            </w:r>
            <w:r>
              <w:rPr>
                <w:rFonts w:hint="eastAsia" w:ascii="宋体" w:hAnsi="宋体" w:eastAsia="宋体" w:cs="宋体"/>
                <w:bCs/>
                <w:snapToGrid/>
                <w:color w:val="auto"/>
                <w:sz w:val="22"/>
                <w:szCs w:val="22"/>
                <w:highlight w:val="none"/>
                <w:lang w:eastAsia="zh-CN"/>
              </w:rPr>
              <w:t>的投标保证金应从投标人在安徽省公共资源交易市场主体库中公布的银行基本账户转出，否则一律视为无效，其投标无效。</w:t>
            </w:r>
            <w:r>
              <w:rPr>
                <w:rFonts w:ascii="宋体" w:hAnsi="宋体" w:eastAsia="宋体" w:cs="宋体"/>
                <w:bCs/>
                <w:snapToGrid/>
                <w:color w:val="auto"/>
                <w:sz w:val="22"/>
                <w:szCs w:val="22"/>
                <w:highlight w:val="none"/>
                <w:lang w:eastAsia="zh-CN"/>
              </w:rPr>
              <w:t>投标人</w:t>
            </w:r>
            <w:r>
              <w:rPr>
                <w:rFonts w:hint="eastAsia" w:ascii="宋体" w:hAnsi="宋体" w:eastAsia="宋体" w:cs="宋体"/>
                <w:bCs/>
                <w:snapToGrid/>
                <w:color w:val="auto"/>
                <w:sz w:val="22"/>
                <w:szCs w:val="22"/>
                <w:highlight w:val="none"/>
                <w:lang w:eastAsia="zh-CN"/>
              </w:rPr>
              <w:t>的投标保证金是否从市场主体库中公布的银行基本账户转出，由招标人在开标、评标时通过开评标系统展示判断；若因系统故障无法展示，则以银行到账凭据作为判断的依据。</w:t>
            </w:r>
          </w:p>
          <w:p w14:paraId="2BA915D3">
            <w:pPr>
              <w:widowControl w:val="0"/>
              <w:kinsoku/>
              <w:autoSpaceDE/>
              <w:autoSpaceDN/>
              <w:adjustRightInd/>
              <w:snapToGrid/>
              <w:spacing w:line="500" w:lineRule="exact"/>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②投标人对在安徽省公共资源交易市场主体库中公布的银行基本账户信息真实性、准确性负责</w:t>
            </w:r>
            <w:r>
              <w:rPr>
                <w:rFonts w:ascii="宋体" w:hAnsi="宋体" w:eastAsia="宋体" w:cs="宋体"/>
                <w:bCs/>
                <w:snapToGrid/>
                <w:color w:val="auto"/>
                <w:sz w:val="22"/>
                <w:szCs w:val="22"/>
                <w:highlight w:val="none"/>
                <w:lang w:eastAsia="zh-CN"/>
              </w:rPr>
              <w:t>。投标人</w:t>
            </w:r>
            <w:r>
              <w:rPr>
                <w:rFonts w:hint="eastAsia" w:ascii="宋体" w:hAnsi="宋体" w:eastAsia="宋体" w:cs="宋体"/>
                <w:bCs/>
                <w:snapToGrid/>
                <w:color w:val="auto"/>
                <w:sz w:val="22"/>
                <w:szCs w:val="22"/>
                <w:highlight w:val="none"/>
                <w:lang w:eastAsia="zh-CN"/>
              </w:rPr>
              <w:t>有</w:t>
            </w:r>
            <w:r>
              <w:rPr>
                <w:rFonts w:ascii="宋体" w:hAnsi="宋体" w:eastAsia="宋体" w:cs="宋体"/>
                <w:bCs/>
                <w:snapToGrid/>
                <w:color w:val="auto"/>
                <w:sz w:val="22"/>
                <w:szCs w:val="22"/>
                <w:highlight w:val="none"/>
                <w:lang w:eastAsia="zh-CN"/>
              </w:rPr>
              <w:t>基本账户开户许可证</w:t>
            </w:r>
            <w:r>
              <w:rPr>
                <w:rFonts w:hint="eastAsia" w:ascii="宋体" w:hAnsi="宋体" w:eastAsia="宋体" w:cs="宋体"/>
                <w:bCs/>
                <w:snapToGrid/>
                <w:color w:val="auto"/>
                <w:sz w:val="22"/>
                <w:szCs w:val="22"/>
                <w:highlight w:val="none"/>
                <w:lang w:eastAsia="zh-CN"/>
              </w:rPr>
              <w:t>的，应在投标文件中提供含有基本账户信息的基本账户开户许可证的原件扫描件；没有基本账户开户许可证的，应在投标文件中提供投标人基本账户开户银行出具的该投标人基本存款账户信息原件扫描件，</w:t>
            </w:r>
            <w:r>
              <w:rPr>
                <w:rFonts w:ascii="宋体" w:hAnsi="宋体" w:eastAsia="宋体" w:cs="宋体"/>
                <w:bCs/>
                <w:snapToGrid/>
                <w:color w:val="auto"/>
                <w:sz w:val="22"/>
                <w:szCs w:val="22"/>
                <w:highlight w:val="none"/>
                <w:lang w:eastAsia="zh-CN"/>
              </w:rPr>
              <w:t>并按所附格式承诺真实有效。</w:t>
            </w:r>
            <w:r>
              <w:rPr>
                <w:rFonts w:hint="eastAsia" w:ascii="宋体" w:hAnsi="宋体" w:eastAsia="宋体" w:cs="宋体"/>
                <w:bCs/>
                <w:snapToGrid/>
                <w:color w:val="auto"/>
                <w:sz w:val="22"/>
                <w:szCs w:val="22"/>
                <w:highlight w:val="none"/>
                <w:lang w:eastAsia="zh-CN"/>
              </w:rPr>
              <w:t>由评标委员会在评标时审查认定基本账户是否与主体信息库信息一致,基本账户与主体信息库信息不一致的，其投标无效。未在投标文件中提供基本账户开户许可证的原件扫描件或基本账户开户银行出具的该投标人基本存款账户信息证明的原件扫描件，将视为基本账户不正确，导致投标无效。</w:t>
            </w:r>
          </w:p>
          <w:p w14:paraId="10B6FAA0">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③网银支付、银行转账转入时限。投标截止时间前必须到下列指定的收款人账户，转入时间应满足网银支付、银行转账数据交换的时间需求。收款人名称、汇入银行及汇入账号应严格按照下列收款人名称、汇入银行及汇入账号填写，不出错,不得多字少字，否则责任自负。</w:t>
            </w:r>
          </w:p>
          <w:p w14:paraId="56B97DBA">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收款人名称：见本项目招标公告公布的名称</w:t>
            </w:r>
          </w:p>
          <w:p w14:paraId="25192BDA">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汇入银行名称：</w:t>
            </w:r>
            <w:r>
              <w:rPr>
                <w:rFonts w:ascii="宋体" w:hAnsi="宋体" w:eastAsia="宋体" w:cs="宋体"/>
                <w:bCs/>
                <w:snapToGrid/>
                <w:color w:val="auto"/>
                <w:sz w:val="22"/>
                <w:szCs w:val="22"/>
                <w:highlight w:val="none"/>
                <w:lang w:eastAsia="zh-CN"/>
              </w:rPr>
              <w:t>见本项目招标公告公布的名称</w:t>
            </w:r>
          </w:p>
          <w:p w14:paraId="51B41785">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汇入银行账号：见本项目招标公告公布的账号</w:t>
            </w:r>
          </w:p>
          <w:p w14:paraId="04F7348B">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（2）如采用第二种方式（纸质银行保函、</w:t>
            </w:r>
            <w:r>
              <w:rPr>
                <w:rFonts w:ascii="宋体" w:hAnsi="宋体" w:eastAsia="宋体" w:cs="宋体"/>
                <w:bCs/>
                <w:snapToGrid/>
                <w:color w:val="auto"/>
                <w:sz w:val="22"/>
                <w:szCs w:val="22"/>
                <w:highlight w:val="none"/>
                <w:lang w:eastAsia="zh-CN"/>
              </w:rPr>
              <w:t>纸质保证</w:t>
            </w:r>
            <w:r>
              <w:rPr>
                <w:rFonts w:hint="eastAsia" w:ascii="宋体" w:hAnsi="宋体" w:eastAsia="宋体" w:cs="宋体"/>
                <w:bCs/>
                <w:snapToGrid/>
                <w:color w:val="auto"/>
                <w:sz w:val="22"/>
                <w:szCs w:val="22"/>
                <w:highlight w:val="none"/>
                <w:lang w:eastAsia="zh-CN"/>
              </w:rPr>
              <w:t>保险、纸质担保保函等,见投标文件格式）递交，根据《中华人民共和国招标投标法实施条例》第二十六条规定之精神，需遵循下列规定：</w:t>
            </w:r>
          </w:p>
          <w:p w14:paraId="1AA76934">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①</w:t>
            </w:r>
            <w:r>
              <w:rPr>
                <w:rFonts w:ascii="宋体" w:hAnsi="宋体" w:eastAsia="宋体" w:cs="宋体"/>
                <w:bCs/>
                <w:snapToGrid/>
                <w:color w:val="auto"/>
                <w:sz w:val="22"/>
                <w:szCs w:val="22"/>
                <w:highlight w:val="none"/>
                <w:lang w:eastAsia="zh-CN"/>
              </w:rPr>
              <w:t>采用</w:t>
            </w:r>
            <w:r>
              <w:rPr>
                <w:rFonts w:hint="eastAsia" w:ascii="宋体" w:hAnsi="宋体" w:eastAsia="宋体" w:cs="宋体"/>
                <w:bCs/>
                <w:snapToGrid/>
                <w:color w:val="auto"/>
                <w:sz w:val="22"/>
                <w:szCs w:val="22"/>
                <w:highlight w:val="none"/>
                <w:lang w:eastAsia="zh-CN"/>
              </w:rPr>
              <w:t>纸质银行保函、</w:t>
            </w:r>
            <w:r>
              <w:rPr>
                <w:rFonts w:ascii="宋体" w:hAnsi="宋体" w:eastAsia="宋体" w:cs="宋体"/>
                <w:bCs/>
                <w:snapToGrid/>
                <w:color w:val="auto"/>
                <w:sz w:val="22"/>
                <w:szCs w:val="22"/>
                <w:highlight w:val="none"/>
                <w:lang w:eastAsia="zh-CN"/>
              </w:rPr>
              <w:t>纸质保证</w:t>
            </w:r>
            <w:r>
              <w:rPr>
                <w:rFonts w:hint="eastAsia" w:ascii="宋体" w:hAnsi="宋体" w:eastAsia="宋体" w:cs="宋体"/>
                <w:bCs/>
                <w:snapToGrid/>
                <w:color w:val="auto"/>
                <w:sz w:val="22"/>
                <w:szCs w:val="22"/>
                <w:highlight w:val="none"/>
                <w:lang w:eastAsia="zh-CN"/>
              </w:rPr>
              <w:t>保险、纸质担保保函</w:t>
            </w:r>
            <w:r>
              <w:rPr>
                <w:rFonts w:ascii="宋体" w:hAnsi="宋体" w:eastAsia="宋体" w:cs="宋体"/>
                <w:bCs/>
                <w:snapToGrid/>
                <w:color w:val="auto"/>
                <w:sz w:val="22"/>
                <w:szCs w:val="22"/>
                <w:highlight w:val="none"/>
                <w:lang w:eastAsia="zh-CN"/>
              </w:rPr>
              <w:t>，该保函、保险应当是无条件见索即付的银行保函、保证保险、担保保函（具体要求：见招标文件所附的银行保函格式文本、保证保险格式文本、担保保险格式文本载明的要素与包括权利义务方面的内容要求）</w:t>
            </w:r>
            <w:r>
              <w:rPr>
                <w:rFonts w:hint="eastAsia" w:ascii="宋体" w:hAnsi="宋体" w:eastAsia="宋体" w:cs="宋体"/>
                <w:bCs/>
                <w:snapToGrid/>
                <w:color w:val="auto"/>
                <w:sz w:val="22"/>
                <w:szCs w:val="22"/>
                <w:highlight w:val="none"/>
                <w:lang w:eastAsia="zh-CN"/>
              </w:rPr>
              <w:t>，保函期限必须大于投标有效期，受益人应为招标人。投标人须将采用的纸质保函、保险原件扫描件编入投标文件，未编入的视为未提供投标担保，其投标无效；虽提交了纸质保函、保险原件扫描件，但其载明的要素与权利义务的要求，不符合格式文本要求，没有按照招标文件约定、投标人的承诺承担所有保证事项或者不是无条件</w:t>
            </w:r>
            <w:r>
              <w:rPr>
                <w:rFonts w:ascii="宋体" w:hAnsi="宋体" w:eastAsia="宋体" w:cs="宋体"/>
                <w:bCs/>
                <w:snapToGrid/>
                <w:color w:val="auto"/>
                <w:sz w:val="22"/>
                <w:szCs w:val="22"/>
                <w:highlight w:val="none"/>
                <w:lang w:eastAsia="zh-CN"/>
              </w:rPr>
              <w:t>见索即付式的保函、保险，视为未提交保函保险，其投标无效</w:t>
            </w:r>
            <w:r>
              <w:rPr>
                <w:rFonts w:hint="eastAsia" w:ascii="宋体" w:hAnsi="宋体" w:eastAsia="宋体" w:cs="宋体"/>
                <w:bCs/>
                <w:snapToGrid/>
                <w:color w:val="auto"/>
                <w:sz w:val="22"/>
                <w:szCs w:val="22"/>
                <w:highlight w:val="none"/>
                <w:lang w:eastAsia="zh-CN"/>
              </w:rPr>
              <w:t>。</w:t>
            </w:r>
          </w:p>
          <w:p w14:paraId="237BA5EA">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②</w:t>
            </w:r>
            <w:r>
              <w:rPr>
                <w:rFonts w:ascii="宋体" w:hAnsi="宋体" w:eastAsia="宋体" w:cs="宋体"/>
                <w:bCs/>
                <w:snapToGrid/>
                <w:color w:val="auto"/>
                <w:sz w:val="22"/>
                <w:szCs w:val="22"/>
                <w:highlight w:val="none"/>
                <w:lang w:eastAsia="zh-CN"/>
              </w:rPr>
              <w:t>采</w:t>
            </w:r>
            <w:r>
              <w:rPr>
                <w:rFonts w:hint="eastAsia" w:ascii="宋体" w:hAnsi="宋体" w:eastAsia="宋体" w:cs="宋体"/>
                <w:bCs/>
                <w:snapToGrid/>
                <w:color w:val="auto"/>
                <w:sz w:val="22"/>
                <w:szCs w:val="22"/>
                <w:highlight w:val="none"/>
                <w:lang w:eastAsia="zh-CN"/>
              </w:rPr>
              <w:t>用纸质银行保函、纸质保证保险、纸质担保保函，其办理保函或保证保险所需的费用，应从投标人在安徽省公共资源交易市场主体库中公布的银行基本账户汇（支）出，并承诺真实有效。费用是否从投标人在安徽省公共资源交易市场主体库中公布的银行基本账户汇（支）出，由投标人将本单位从基本账户汇出该项费用的原始凭证（载有基本账户信息、收取该费用的承担出具保函保险的单位名称、账户信息的原始凭证；属于基本账户银行出具保函的除外）扫描件、基本账户开户许可证（或基本账户开户银行出具的该投标人基本存款账户信息证明材料）的原件扫描件编入投标文件中，由评标委员会在评标时审查认定。未从投标人在安徽省公共资源交易市场主体库中公布的银行基本账户汇（支）出或基本账户弄虚作假的，其投标无效。未在投标文件中提供本单位从基本账户支付该项费用的原始凭证扫描件、或未提供基本账户开户许可证的原件扫描件或基本账户开户银行出具的该投标人基本存款账户信息证明的原件扫描件的，将视为基本账户不正确，导致投标无效。</w:t>
            </w:r>
          </w:p>
          <w:p w14:paraId="5998DA6C">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③投标人提交的纸质保函保险，必须明确载明有效的查询途径（包括电话、网址链接及查询方式），否则该保函保险无效。</w:t>
            </w:r>
          </w:p>
          <w:p w14:paraId="580047F6">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④中标候选人</w:t>
            </w:r>
            <w:r>
              <w:rPr>
                <w:rFonts w:ascii="宋体" w:hAnsi="宋体" w:eastAsia="宋体" w:cs="宋体"/>
                <w:bCs/>
                <w:snapToGrid/>
                <w:color w:val="auto"/>
                <w:sz w:val="22"/>
                <w:szCs w:val="22"/>
                <w:highlight w:val="none"/>
                <w:lang w:eastAsia="zh-CN"/>
              </w:rPr>
              <w:t>须在中标候选人公示期满后3个工作日内，</w:t>
            </w:r>
            <w:r>
              <w:rPr>
                <w:rFonts w:hint="eastAsia" w:ascii="宋体" w:hAnsi="宋体" w:eastAsia="宋体" w:cs="宋体"/>
                <w:bCs/>
                <w:snapToGrid/>
                <w:color w:val="auto"/>
                <w:sz w:val="22"/>
                <w:szCs w:val="22"/>
                <w:highlight w:val="none"/>
                <w:lang w:eastAsia="zh-CN"/>
              </w:rPr>
              <w:t>将其开具至本项目的纸质保函保险原件提交招标人，其他非中标候选人的纸质保函保险原件留存备查,且原件须与投标文件中提供的扫描件一致。招标人及监管部门需查询查核时，投标人应当提供原件，如存在未按规定提交原件或提交内容不一致，或发现弄虚作假的，招标人将视情况给予三年以内投标资格限制，并报监管部门依法处理。</w:t>
            </w:r>
          </w:p>
          <w:p w14:paraId="1DD58355">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ascii="宋体" w:hAnsi="宋体" w:eastAsia="宋体" w:cs="宋体"/>
                <w:bCs/>
                <w:snapToGrid/>
                <w:color w:val="auto"/>
                <w:sz w:val="22"/>
                <w:szCs w:val="22"/>
                <w:highlight w:val="none"/>
                <w:lang w:eastAsia="zh-CN"/>
              </w:rPr>
              <w:t>（3）如采用第</w:t>
            </w:r>
            <w:r>
              <w:rPr>
                <w:rFonts w:hint="eastAsia" w:ascii="宋体" w:hAnsi="宋体" w:eastAsia="宋体" w:cs="宋体"/>
                <w:bCs/>
                <w:snapToGrid/>
                <w:color w:val="auto"/>
                <w:sz w:val="22"/>
                <w:szCs w:val="22"/>
                <w:highlight w:val="none"/>
                <w:lang w:eastAsia="zh-CN"/>
              </w:rPr>
              <w:t>三种方式</w:t>
            </w:r>
            <w:r>
              <w:rPr>
                <w:rFonts w:ascii="宋体" w:hAnsi="宋体" w:eastAsia="宋体" w:cs="宋体"/>
                <w:bCs/>
                <w:snapToGrid/>
                <w:color w:val="auto"/>
                <w:sz w:val="22"/>
                <w:szCs w:val="22"/>
                <w:highlight w:val="none"/>
                <w:lang w:eastAsia="zh-CN"/>
              </w:rPr>
              <w:t>即</w:t>
            </w:r>
            <w:r>
              <w:rPr>
                <w:rFonts w:hint="eastAsia" w:ascii="宋体" w:hAnsi="宋体" w:eastAsia="宋体" w:cs="宋体"/>
                <w:bCs/>
                <w:snapToGrid/>
                <w:color w:val="auto"/>
                <w:sz w:val="22"/>
                <w:szCs w:val="22"/>
                <w:highlight w:val="none"/>
                <w:lang w:eastAsia="zh-CN"/>
              </w:rPr>
              <w:t>电子保函递交，根据《中华人民共和国招标投标法实施条例》第二十六条规定之精神，需遵循下列规定</w:t>
            </w:r>
            <w:r>
              <w:rPr>
                <w:rFonts w:ascii="宋体" w:hAnsi="宋体" w:eastAsia="宋体" w:cs="宋体"/>
                <w:bCs/>
                <w:snapToGrid/>
                <w:color w:val="auto"/>
                <w:sz w:val="22"/>
                <w:szCs w:val="22"/>
                <w:highlight w:val="none"/>
                <w:lang w:eastAsia="zh-CN"/>
              </w:rPr>
              <w:t>：</w:t>
            </w:r>
          </w:p>
          <w:p w14:paraId="231C1AFD">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①办理银行电子保函所需费用，应从投标人基本账户汇（支）出，并通过出具电子保函的银行系统校验，未通过校验的，投标无效。受益人应为招标人。投标人须在投标文件递交截止时间前提供与六安市公共资源交易中心交易系统对接的电子保函，否则视为投标保证金未按规定要求提交，由评标委员会否决其投标。</w:t>
            </w:r>
          </w:p>
          <w:p w14:paraId="08441DDA">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②保险电子保函、担保电子保函由投标人协商委托的保险机构、担保机构出具，受益人为招标人。</w:t>
            </w:r>
            <w:r>
              <w:rPr>
                <w:rFonts w:ascii="宋体" w:hAnsi="宋体" w:eastAsia="宋体" w:cs="宋体"/>
                <w:bCs/>
                <w:snapToGrid/>
                <w:color w:val="auto"/>
                <w:sz w:val="22"/>
                <w:szCs w:val="22"/>
                <w:highlight w:val="none"/>
                <w:lang w:eastAsia="zh-CN"/>
              </w:rPr>
              <w:t>投标人须在投标文件递交截止时间前提供与</w:t>
            </w:r>
            <w:r>
              <w:rPr>
                <w:rFonts w:hint="eastAsia" w:ascii="宋体" w:hAnsi="宋体" w:eastAsia="宋体" w:cs="宋体"/>
                <w:bCs/>
                <w:snapToGrid/>
                <w:color w:val="auto"/>
                <w:sz w:val="22"/>
                <w:szCs w:val="22"/>
                <w:highlight w:val="none"/>
                <w:lang w:eastAsia="zh-CN"/>
              </w:rPr>
              <w:t>六安市公共资源交易</w:t>
            </w:r>
            <w:r>
              <w:rPr>
                <w:rFonts w:ascii="宋体" w:hAnsi="宋体" w:eastAsia="宋体" w:cs="宋体"/>
                <w:bCs/>
                <w:snapToGrid/>
                <w:color w:val="auto"/>
                <w:sz w:val="22"/>
                <w:szCs w:val="22"/>
                <w:highlight w:val="none"/>
                <w:lang w:eastAsia="zh-CN"/>
              </w:rPr>
              <w:t>中心交易系统对接的电子保函，否则视为投标保证金未按规定要求提交，由评标委员会否决其投标。</w:t>
            </w:r>
          </w:p>
          <w:p w14:paraId="3839E1AD">
            <w:pPr>
              <w:widowControl w:val="0"/>
              <w:kinsoku/>
              <w:autoSpaceDE/>
              <w:autoSpaceDN/>
              <w:snapToGrid/>
              <w:spacing w:line="360" w:lineRule="auto"/>
              <w:ind w:right="63" w:rightChars="30" w:firstLine="442" w:firstLineChars="200"/>
              <w:rPr>
                <w:rFonts w:hint="eastAsia" w:ascii="宋体" w:hAnsi="宋体" w:eastAsia="宋体" w:cs="宋体"/>
                <w:b/>
                <w:bCs/>
                <w:snapToGrid/>
                <w:color w:val="auto"/>
                <w:sz w:val="22"/>
                <w:szCs w:val="22"/>
                <w:highlight w:val="none"/>
                <w:lang w:eastAsia="zh-CN"/>
              </w:rPr>
            </w:pPr>
            <w:r>
              <w:rPr>
                <w:rFonts w:hint="eastAsia" w:ascii="宋体" w:hAnsi="宋体" w:eastAsia="宋体" w:cs="宋体"/>
                <w:b/>
                <w:bCs/>
                <w:snapToGrid/>
                <w:color w:val="auto"/>
                <w:sz w:val="22"/>
                <w:szCs w:val="22"/>
                <w:highlight w:val="none"/>
                <w:lang w:eastAsia="zh-CN"/>
              </w:rPr>
              <w:t>5</w:t>
            </w:r>
            <w:r>
              <w:rPr>
                <w:rFonts w:ascii="宋体" w:hAnsi="宋体" w:eastAsia="宋体" w:cs="宋体"/>
                <w:b/>
                <w:bCs/>
                <w:snapToGrid/>
                <w:color w:val="auto"/>
                <w:sz w:val="22"/>
                <w:szCs w:val="22"/>
                <w:highlight w:val="none"/>
                <w:lang w:eastAsia="zh-CN"/>
              </w:rPr>
              <w:t>、</w:t>
            </w:r>
            <w:r>
              <w:rPr>
                <w:rFonts w:hint="eastAsia" w:ascii="宋体" w:hAnsi="宋体" w:eastAsia="宋体" w:cs="宋体"/>
                <w:b/>
                <w:bCs/>
                <w:snapToGrid/>
                <w:color w:val="auto"/>
                <w:sz w:val="22"/>
                <w:szCs w:val="22"/>
                <w:highlight w:val="none"/>
                <w:lang w:eastAsia="zh-CN"/>
              </w:rPr>
              <w:t>招标人对中小微企业可免交投标保证金:</w:t>
            </w:r>
          </w:p>
          <w:p w14:paraId="1F938D81">
            <w:pPr>
              <w:widowControl w:val="0"/>
              <w:kinsoku/>
              <w:autoSpaceDE/>
              <w:autoSpaceDN/>
              <w:snapToGrid/>
              <w:spacing w:line="360" w:lineRule="auto"/>
              <w:ind w:right="63" w:rightChars="30" w:firstLine="442" w:firstLineChars="200"/>
              <w:rPr>
                <w:rFonts w:hint="eastAsia" w:ascii="宋体" w:hAnsi="宋体" w:eastAsia="宋体" w:cs="宋体"/>
                <w:bCs/>
                <w:snapToGrid/>
                <w:color w:val="auto"/>
                <w:sz w:val="22"/>
                <w:szCs w:val="22"/>
                <w:highlight w:val="none"/>
                <w:lang w:eastAsia="zh-CN"/>
              </w:rPr>
            </w:pPr>
            <w:r>
              <w:rPr>
                <w:rFonts w:ascii="宋体" w:hAnsi="宋体" w:eastAsia="宋体" w:cs="宋体"/>
                <w:b/>
                <w:bCs/>
                <w:snapToGrid/>
                <w:color w:val="auto"/>
                <w:sz w:val="22"/>
                <w:szCs w:val="22"/>
                <w:highlight w:val="none"/>
                <w:lang w:eastAsia="zh-CN"/>
              </w:rPr>
              <w:t>是否免交投标保证金：□是</w:t>
            </w:r>
            <w:r>
              <w:rPr>
                <w:rFonts w:hint="eastAsia" w:ascii="宋体" w:hAnsi="宋体" w:eastAsia="宋体" w:cs="宋体"/>
                <w:b/>
                <w:bCs/>
                <w:snapToGrid/>
                <w:color w:val="auto"/>
                <w:sz w:val="22"/>
                <w:szCs w:val="22"/>
                <w:highlight w:val="none"/>
                <w:lang w:eastAsia="zh-CN"/>
              </w:rPr>
              <w:t>☑</w:t>
            </w:r>
            <w:r>
              <w:rPr>
                <w:rFonts w:ascii="宋体" w:hAnsi="宋体" w:eastAsia="宋体" w:cs="宋体"/>
                <w:b/>
                <w:bCs/>
                <w:snapToGrid/>
                <w:color w:val="auto"/>
                <w:sz w:val="22"/>
                <w:szCs w:val="22"/>
                <w:highlight w:val="none"/>
                <w:lang w:eastAsia="zh-CN"/>
              </w:rPr>
              <w:t>否</w:t>
            </w:r>
            <w:r>
              <w:rPr>
                <w:rFonts w:hint="eastAsia" w:ascii="宋体" w:hAnsi="宋体" w:eastAsia="宋体" w:cs="宋体"/>
                <w:b/>
                <w:bCs/>
                <w:snapToGrid/>
                <w:color w:val="auto"/>
                <w:sz w:val="22"/>
                <w:szCs w:val="22"/>
                <w:highlight w:val="none"/>
                <w:lang w:eastAsia="zh-CN"/>
              </w:rPr>
              <w:t>，本项目免交对象是</w:t>
            </w:r>
            <w:r>
              <w:rPr>
                <w:rFonts w:hint="eastAsia" w:ascii="宋体" w:hAnsi="宋体" w:eastAsia="宋体" w:cs="宋体"/>
                <w:b/>
                <w:bCs/>
                <w:snapToGrid/>
                <w:color w:val="auto"/>
                <w:sz w:val="22"/>
                <w:szCs w:val="22"/>
                <w:highlight w:val="none"/>
                <w:u w:val="single"/>
                <w:lang w:eastAsia="zh-CN"/>
              </w:rPr>
              <w:t>/</w:t>
            </w:r>
          </w:p>
          <w:p w14:paraId="7AA857AA">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6、</w:t>
            </w:r>
            <w:r>
              <w:rPr>
                <w:rFonts w:ascii="宋体" w:hAnsi="宋体" w:eastAsia="宋体" w:cs="宋体"/>
                <w:bCs/>
                <w:snapToGrid/>
                <w:color w:val="auto"/>
                <w:sz w:val="22"/>
                <w:szCs w:val="22"/>
                <w:highlight w:val="none"/>
                <w:lang w:eastAsia="zh-CN"/>
              </w:rPr>
              <w:t>中标候选人若采用电子保函、纸质保函</w:t>
            </w:r>
            <w:r>
              <w:rPr>
                <w:rFonts w:hint="eastAsia" w:ascii="宋体" w:hAnsi="宋体" w:eastAsia="宋体" w:cs="宋体"/>
                <w:bCs/>
                <w:snapToGrid/>
                <w:color w:val="auto"/>
                <w:sz w:val="22"/>
                <w:szCs w:val="22"/>
                <w:highlight w:val="none"/>
                <w:lang w:eastAsia="zh-CN"/>
              </w:rPr>
              <w:t>、电子保险、纸质保险</w:t>
            </w:r>
            <w:r>
              <w:rPr>
                <w:rFonts w:ascii="宋体" w:hAnsi="宋体" w:eastAsia="宋体" w:cs="宋体"/>
                <w:bCs/>
                <w:snapToGrid/>
                <w:color w:val="auto"/>
                <w:sz w:val="22"/>
                <w:szCs w:val="22"/>
                <w:highlight w:val="none"/>
                <w:lang w:eastAsia="zh-CN"/>
              </w:rPr>
              <w:t>形式递交投标保证金的,其电子保函、纸质保函</w:t>
            </w:r>
            <w:r>
              <w:rPr>
                <w:rFonts w:hint="eastAsia" w:ascii="宋体" w:hAnsi="宋体" w:eastAsia="宋体" w:cs="宋体"/>
                <w:bCs/>
                <w:snapToGrid/>
                <w:color w:val="auto"/>
                <w:sz w:val="22"/>
                <w:szCs w:val="22"/>
                <w:highlight w:val="none"/>
                <w:lang w:eastAsia="zh-CN"/>
              </w:rPr>
              <w:t>、电子保险、纸质保险</w:t>
            </w:r>
            <w:r>
              <w:rPr>
                <w:rFonts w:ascii="宋体" w:hAnsi="宋体" w:eastAsia="宋体" w:cs="宋体"/>
                <w:bCs/>
                <w:snapToGrid/>
                <w:color w:val="auto"/>
                <w:sz w:val="22"/>
                <w:szCs w:val="22"/>
                <w:highlight w:val="none"/>
                <w:lang w:eastAsia="zh-CN"/>
              </w:rPr>
              <w:t>将随中标</w:t>
            </w:r>
            <w:r>
              <w:rPr>
                <w:rFonts w:hint="eastAsia" w:ascii="宋体" w:hAnsi="宋体" w:eastAsia="宋体" w:cs="宋体"/>
                <w:bCs/>
                <w:snapToGrid/>
                <w:color w:val="auto"/>
                <w:sz w:val="22"/>
                <w:szCs w:val="22"/>
                <w:highlight w:val="none"/>
                <w:lang w:eastAsia="zh-CN"/>
              </w:rPr>
              <w:t>候</w:t>
            </w:r>
            <w:r>
              <w:rPr>
                <w:rFonts w:ascii="宋体" w:hAnsi="宋体" w:eastAsia="宋体" w:cs="宋体"/>
                <w:bCs/>
                <w:snapToGrid/>
                <w:color w:val="auto"/>
                <w:sz w:val="22"/>
                <w:szCs w:val="22"/>
                <w:highlight w:val="none"/>
                <w:lang w:eastAsia="zh-CN"/>
              </w:rPr>
              <w:t>选人公示一并公示。</w:t>
            </w:r>
          </w:p>
          <w:p w14:paraId="273811BD">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7、其他注意事项：</w:t>
            </w:r>
          </w:p>
          <w:p w14:paraId="2D0D589A">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（1）</w:t>
            </w:r>
            <w:r>
              <w:rPr>
                <w:rFonts w:ascii="宋体" w:hAnsi="宋体" w:eastAsia="宋体" w:cs="宋体"/>
                <w:bCs/>
                <w:snapToGrid/>
                <w:color w:val="auto"/>
                <w:sz w:val="22"/>
                <w:szCs w:val="22"/>
                <w:highlight w:val="none"/>
                <w:lang w:eastAsia="zh-CN"/>
              </w:rPr>
              <w:t>投标人</w:t>
            </w:r>
            <w:r>
              <w:rPr>
                <w:rFonts w:hint="eastAsia" w:ascii="宋体" w:hAnsi="宋体" w:eastAsia="宋体" w:cs="宋体"/>
                <w:bCs/>
                <w:snapToGrid/>
                <w:color w:val="auto"/>
                <w:sz w:val="22"/>
                <w:szCs w:val="22"/>
                <w:highlight w:val="none"/>
                <w:lang w:eastAsia="zh-CN"/>
              </w:rPr>
              <w:t>提交的保函保险（纸质）不符合本招标文件所附格式保函保险第一、二、三、四、五、六、七条款内容要求的，视为未提交投标保函保险，其投标无效。</w:t>
            </w:r>
          </w:p>
          <w:p w14:paraId="740CD6B9">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ascii="宋体" w:hAnsi="宋体" w:eastAsia="宋体" w:cs="宋体"/>
                <w:bCs/>
                <w:snapToGrid/>
                <w:color w:val="auto"/>
                <w:sz w:val="22"/>
                <w:szCs w:val="22"/>
                <w:highlight w:val="none"/>
                <w:lang w:eastAsia="zh-CN"/>
              </w:rPr>
              <w:t>（</w:t>
            </w:r>
            <w:r>
              <w:rPr>
                <w:rFonts w:hint="eastAsia" w:ascii="宋体" w:hAnsi="宋体" w:eastAsia="宋体" w:cs="宋体"/>
                <w:bCs/>
                <w:snapToGrid/>
                <w:color w:val="auto"/>
                <w:sz w:val="22"/>
                <w:szCs w:val="22"/>
                <w:highlight w:val="none"/>
                <w:lang w:eastAsia="zh-CN"/>
              </w:rPr>
              <w:t>2</w:t>
            </w:r>
            <w:r>
              <w:rPr>
                <w:rFonts w:ascii="宋体" w:hAnsi="宋体" w:eastAsia="宋体" w:cs="宋体"/>
                <w:bCs/>
                <w:snapToGrid/>
                <w:color w:val="auto"/>
                <w:sz w:val="22"/>
                <w:szCs w:val="22"/>
                <w:highlight w:val="none"/>
                <w:lang w:eastAsia="zh-CN"/>
              </w:rPr>
              <w:t>）投标人采用虚假保函</w:t>
            </w:r>
            <w:r>
              <w:rPr>
                <w:rFonts w:hint="eastAsia" w:ascii="宋体" w:hAnsi="宋体" w:eastAsia="宋体" w:cs="宋体"/>
                <w:bCs/>
                <w:snapToGrid/>
                <w:color w:val="auto"/>
                <w:sz w:val="22"/>
                <w:szCs w:val="22"/>
                <w:highlight w:val="none"/>
                <w:lang w:eastAsia="zh-CN"/>
              </w:rPr>
              <w:t>、虚假保证保险</w:t>
            </w:r>
            <w:r>
              <w:rPr>
                <w:rFonts w:ascii="宋体" w:hAnsi="宋体" w:eastAsia="宋体" w:cs="宋体"/>
                <w:bCs/>
                <w:snapToGrid/>
                <w:color w:val="auto"/>
                <w:sz w:val="22"/>
                <w:szCs w:val="22"/>
                <w:highlight w:val="none"/>
                <w:lang w:eastAsia="zh-CN"/>
              </w:rPr>
              <w:t>方式提交投标保证金的，除依法承担弄虚作假的法律责任外，仍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r>
              <w:rPr>
                <w:rFonts w:hint="eastAsia" w:ascii="宋体" w:hAnsi="宋体" w:eastAsia="宋体" w:cs="宋体"/>
                <w:bCs/>
                <w:snapToGrid/>
                <w:color w:val="auto"/>
                <w:sz w:val="22"/>
                <w:szCs w:val="22"/>
                <w:highlight w:val="none"/>
                <w:lang w:eastAsia="zh-CN"/>
              </w:rPr>
              <w:t>不缴纳或</w:t>
            </w:r>
            <w:r>
              <w:rPr>
                <w:rFonts w:ascii="宋体" w:hAnsi="宋体" w:eastAsia="宋体" w:cs="宋体"/>
                <w:bCs/>
                <w:snapToGrid/>
                <w:color w:val="auto"/>
                <w:sz w:val="22"/>
                <w:szCs w:val="22"/>
                <w:highlight w:val="none"/>
                <w:lang w:eastAsia="zh-CN"/>
              </w:rPr>
              <w:t>不足额缴纳的，将承担不良行为记录、行政处罚、投标资格限制的处理，直至移送司法机关承担弄虚作假的刑事责任。</w:t>
            </w:r>
          </w:p>
          <w:p w14:paraId="2B965BB0">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8、退回时限：（1）、非中标候选人投标保证金的退还。中标候选人公示期满次工作日，电子交易系统自动提交除中标候选人外的其他投标人的投标保证金及银行同期存款活期利息的退还指令。</w:t>
            </w:r>
          </w:p>
          <w:p w14:paraId="424838BE">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（2）、中标候选人投标保证金的退还。中标通知书发出后次工作日，电子交易系统自动提交除中标人外的其他中标候选人的投标保证金及银行同期存款活期利息的退还指令。</w:t>
            </w:r>
          </w:p>
          <w:p w14:paraId="67B5A7A3">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（3）、中标人投标保证金的退还。</w:t>
            </w:r>
          </w:p>
          <w:p w14:paraId="3EED1785">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①及时完成合同签订与公开的。中标通知书发出之日起</w:t>
            </w:r>
            <w:r>
              <w:rPr>
                <w:rFonts w:ascii="宋体" w:hAnsi="宋体" w:eastAsia="宋体" w:cs="宋体"/>
                <w:bCs/>
                <w:snapToGrid/>
                <w:color w:val="auto"/>
                <w:sz w:val="22"/>
                <w:szCs w:val="22"/>
                <w:highlight w:val="none"/>
                <w:lang w:eastAsia="zh-CN"/>
              </w:rPr>
              <w:t>30</w:t>
            </w:r>
            <w:r>
              <w:rPr>
                <w:rFonts w:hint="eastAsia" w:ascii="宋体" w:hAnsi="宋体" w:eastAsia="宋体" w:cs="宋体"/>
                <w:bCs/>
                <w:snapToGrid/>
                <w:color w:val="auto"/>
                <w:sz w:val="22"/>
                <w:szCs w:val="22"/>
                <w:highlight w:val="none"/>
                <w:lang w:eastAsia="zh-CN"/>
              </w:rPr>
              <w:t>日内，招标人与中标人及时完成合同签订，并通过电子交易系统完成合同线上公开的，次工作日电子交易系统自动提交中标人的投标保证金及银行同期存款活期利息的退还指令。</w:t>
            </w:r>
          </w:p>
          <w:p w14:paraId="28AC1419">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②未及时完成合同签订与公开的。中标通知书发出之日起</w:t>
            </w:r>
            <w:r>
              <w:rPr>
                <w:rFonts w:ascii="宋体" w:hAnsi="宋体" w:eastAsia="宋体" w:cs="宋体"/>
                <w:bCs/>
                <w:snapToGrid/>
                <w:color w:val="auto"/>
                <w:sz w:val="22"/>
                <w:szCs w:val="22"/>
                <w:highlight w:val="none"/>
                <w:lang w:eastAsia="zh-CN"/>
              </w:rPr>
              <w:t>30</w:t>
            </w:r>
            <w:r>
              <w:rPr>
                <w:rFonts w:hint="eastAsia" w:ascii="宋体" w:hAnsi="宋体" w:eastAsia="宋体" w:cs="宋体"/>
                <w:bCs/>
                <w:snapToGrid/>
                <w:color w:val="auto"/>
                <w:sz w:val="22"/>
                <w:szCs w:val="22"/>
                <w:highlight w:val="none"/>
                <w:lang w:eastAsia="zh-CN"/>
              </w:rPr>
              <w:t>日内，招标人与中标人未及时完成合同签订和合同线上公开的，电子交易系统于中标通知书发出后第</w:t>
            </w:r>
            <w:r>
              <w:rPr>
                <w:rFonts w:ascii="宋体" w:hAnsi="宋体" w:eastAsia="宋体" w:cs="宋体"/>
                <w:bCs/>
                <w:snapToGrid/>
                <w:color w:val="auto"/>
                <w:sz w:val="22"/>
                <w:szCs w:val="22"/>
                <w:highlight w:val="none"/>
                <w:lang w:eastAsia="zh-CN"/>
              </w:rPr>
              <w:t>31</w:t>
            </w:r>
            <w:r>
              <w:rPr>
                <w:rFonts w:hint="eastAsia" w:ascii="宋体" w:hAnsi="宋体" w:eastAsia="宋体" w:cs="宋体"/>
                <w:bCs/>
                <w:snapToGrid/>
                <w:color w:val="auto"/>
                <w:sz w:val="22"/>
                <w:szCs w:val="22"/>
                <w:highlight w:val="none"/>
                <w:lang w:eastAsia="zh-CN"/>
              </w:rPr>
              <w:t>日（如果当天为节假日，则顺延至下一工作日）自动提交中标人的投标保证金及银行同期存款活期利息的退还指令。</w:t>
            </w:r>
          </w:p>
          <w:p w14:paraId="6C8BC132">
            <w:pPr>
              <w:widowControl w:val="0"/>
              <w:kinsoku/>
              <w:autoSpaceDE/>
              <w:autoSpaceDN/>
              <w:snapToGrid/>
              <w:spacing w:line="360" w:lineRule="auto"/>
              <w:ind w:right="63" w:rightChars="30" w:firstLine="440" w:firstLineChars="200"/>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（4）、特殊情况投标保证金的退还按六交易（2023）2号文执行。</w:t>
            </w:r>
          </w:p>
          <w:p w14:paraId="487F8B42">
            <w:pPr>
              <w:widowControl w:val="0"/>
              <w:kinsoku/>
              <w:autoSpaceDE/>
              <w:autoSpaceDN/>
              <w:snapToGrid/>
              <w:spacing w:line="360" w:lineRule="auto"/>
              <w:ind w:right="63" w:rightChars="30" w:firstLine="440" w:firstLineChars="200"/>
              <w:rPr>
                <w:rStyle w:val="22"/>
                <w:rFonts w:hint="eastAsia" w:ascii="等线" w:hAnsi="等线" w:eastAsia="等线" w:cs="Times New Roman"/>
                <w:b w:val="0"/>
                <w:bCs w:val="0"/>
                <w:snapToGrid/>
                <w:color w:val="auto"/>
                <w:sz w:val="20"/>
                <w:highlight w:val="none"/>
                <w:lang w:eastAsia="zh-CN"/>
              </w:rPr>
            </w:pPr>
            <w:r>
              <w:rPr>
                <w:rFonts w:hint="eastAsia" w:ascii="宋体" w:hAnsi="宋体" w:eastAsia="宋体" w:cs="宋体"/>
                <w:bCs/>
                <w:snapToGrid/>
                <w:color w:val="auto"/>
                <w:sz w:val="22"/>
                <w:szCs w:val="22"/>
                <w:highlight w:val="none"/>
                <w:lang w:eastAsia="zh-CN"/>
              </w:rPr>
              <w:t>9、中标人应按投标须知前附表第25条的规定另行交纳履约保证金。</w:t>
            </w:r>
          </w:p>
        </w:tc>
      </w:tr>
      <w:tr w14:paraId="5B99A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BB90130">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24</w:t>
            </w:r>
          </w:p>
        </w:tc>
        <w:tc>
          <w:tcPr>
            <w:tcW w:w="2091" w:type="dxa"/>
            <w:tcBorders>
              <w:top w:val="single" w:color="auto" w:sz="4" w:space="0"/>
              <w:left w:val="single" w:color="auto" w:sz="4" w:space="0"/>
              <w:bottom w:val="single" w:color="auto" w:sz="4" w:space="0"/>
              <w:right w:val="single" w:color="auto" w:sz="4" w:space="0"/>
            </w:tcBorders>
            <w:vAlign w:val="center"/>
          </w:tcPr>
          <w:p w14:paraId="236F58D8">
            <w:pPr>
              <w:pStyle w:val="42"/>
              <w:widowControl w:val="0"/>
              <w:spacing w:before="0" w:beforeAutospacing="0" w:after="0" w:afterAutospacing="0" w:line="300" w:lineRule="exact"/>
              <w:jc w:val="center"/>
              <w:rPr>
                <w:rStyle w:val="22"/>
                <w:rFonts w:hint="eastAsia" w:cs="宋体"/>
                <w:b w:val="0"/>
                <w:color w:val="auto"/>
                <w:sz w:val="22"/>
                <w:szCs w:val="22"/>
                <w:highlight w:val="none"/>
              </w:rPr>
            </w:pPr>
            <w:r>
              <w:rPr>
                <w:rStyle w:val="22"/>
                <w:rFonts w:hint="eastAsia" w:hAnsi="Times New Roman" w:cs="宋体"/>
                <w:b w:val="0"/>
                <w:color w:val="auto"/>
                <w:sz w:val="22"/>
                <w:szCs w:val="22"/>
                <w:highlight w:val="none"/>
              </w:rPr>
              <w:t>招标人工程款支付担保</w:t>
            </w:r>
          </w:p>
        </w:tc>
        <w:tc>
          <w:tcPr>
            <w:tcW w:w="7118" w:type="dxa"/>
            <w:tcBorders>
              <w:top w:val="single" w:color="auto" w:sz="4" w:space="0"/>
              <w:left w:val="single" w:color="auto" w:sz="4" w:space="0"/>
              <w:bottom w:val="single" w:color="auto" w:sz="4" w:space="0"/>
              <w:right w:val="single" w:color="auto" w:sz="4" w:space="0"/>
            </w:tcBorders>
          </w:tcPr>
          <w:p w14:paraId="01B0181C">
            <w:pPr>
              <w:widowControl w:val="0"/>
              <w:kinsoku/>
              <w:autoSpaceDE/>
              <w:autoSpaceDN/>
              <w:snapToGrid/>
              <w:spacing w:line="360" w:lineRule="auto"/>
              <w:ind w:right="63" w:rightChars="30" w:firstLine="440" w:firstLineChars="200"/>
              <w:rPr>
                <w:rStyle w:val="22"/>
                <w:rFonts w:hint="eastAsia" w:ascii="宋体" w:hAnsi="宋体" w:eastAsia="宋体" w:cs="宋体"/>
                <w:b w:val="0"/>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具体要求以工程项目施工合同中对工程款支付担保的相关约定为准。</w:t>
            </w:r>
          </w:p>
        </w:tc>
      </w:tr>
      <w:tr w14:paraId="02F34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6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2FEE3338">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25</w:t>
            </w:r>
          </w:p>
        </w:tc>
        <w:tc>
          <w:tcPr>
            <w:tcW w:w="2091" w:type="dxa"/>
            <w:tcBorders>
              <w:top w:val="single" w:color="auto" w:sz="4" w:space="0"/>
              <w:left w:val="single" w:color="auto" w:sz="4" w:space="0"/>
              <w:bottom w:val="single" w:color="auto" w:sz="4" w:space="0"/>
              <w:right w:val="single" w:color="auto" w:sz="4" w:space="0"/>
            </w:tcBorders>
            <w:vAlign w:val="center"/>
          </w:tcPr>
          <w:p w14:paraId="602FCAA7">
            <w:pPr>
              <w:pStyle w:val="42"/>
              <w:widowControl w:val="0"/>
              <w:spacing w:before="0" w:beforeAutospacing="0" w:after="0" w:afterAutospacing="0" w:line="300" w:lineRule="exact"/>
              <w:jc w:val="center"/>
              <w:rPr>
                <w:rStyle w:val="22"/>
                <w:rFonts w:hint="eastAsia" w:cs="宋体"/>
                <w:b w:val="0"/>
                <w:color w:val="auto"/>
                <w:sz w:val="22"/>
                <w:szCs w:val="22"/>
                <w:highlight w:val="none"/>
              </w:rPr>
            </w:pPr>
            <w:r>
              <w:rPr>
                <w:rStyle w:val="22"/>
                <w:rFonts w:hint="eastAsia" w:hAnsi="Times New Roman" w:cs="宋体"/>
                <w:b w:val="0"/>
                <w:bCs w:val="0"/>
                <w:color w:val="auto"/>
                <w:sz w:val="22"/>
                <w:szCs w:val="22"/>
                <w:highlight w:val="none"/>
              </w:rPr>
              <w:t>中标人履约保证金</w:t>
            </w:r>
          </w:p>
        </w:tc>
        <w:tc>
          <w:tcPr>
            <w:tcW w:w="7118" w:type="dxa"/>
            <w:tcBorders>
              <w:top w:val="single" w:color="auto" w:sz="4" w:space="0"/>
              <w:left w:val="single" w:color="auto" w:sz="4" w:space="0"/>
              <w:bottom w:val="single" w:color="auto" w:sz="4" w:space="0"/>
              <w:right w:val="single" w:color="auto" w:sz="4" w:space="0"/>
            </w:tcBorders>
            <w:vAlign w:val="center"/>
          </w:tcPr>
          <w:p w14:paraId="247E444F">
            <w:pPr>
              <w:widowControl w:val="0"/>
              <w:kinsoku/>
              <w:autoSpaceDE/>
              <w:autoSpaceDN/>
              <w:adjustRightInd/>
              <w:snapToGrid/>
              <w:spacing w:line="360" w:lineRule="auto"/>
              <w:ind w:firstLine="440" w:firstLineChars="200"/>
              <w:textAlignment w:val="auto"/>
              <w:rPr>
                <w:rStyle w:val="22"/>
                <w:rFonts w:hint="eastAsia" w:ascii="宋体" w:hAnsi="宋体" w:eastAsia="宋体" w:cs="宋体"/>
                <w:b w:val="0"/>
                <w:snapToGrid/>
                <w:color w:val="auto"/>
                <w:sz w:val="22"/>
                <w:szCs w:val="18"/>
                <w:highlight w:val="none"/>
                <w:lang w:eastAsia="zh-CN"/>
              </w:rPr>
            </w:pPr>
            <w:r>
              <w:rPr>
                <w:rStyle w:val="22"/>
                <w:rFonts w:hint="eastAsia" w:ascii="宋体" w:hAnsi="宋体" w:eastAsia="宋体" w:cs="宋体"/>
                <w:b w:val="0"/>
                <w:snapToGrid/>
                <w:color w:val="auto"/>
                <w:sz w:val="22"/>
                <w:szCs w:val="18"/>
                <w:highlight w:val="none"/>
                <w:lang w:eastAsia="zh-CN"/>
              </w:rPr>
              <w:t>保证方式：中标人可以通过转账、网银支付、汇票、支票、担保保函、保证保险、保函（含电子保函）等方式提交履约保证金。</w:t>
            </w:r>
          </w:p>
          <w:p w14:paraId="1B0F43CC">
            <w:pPr>
              <w:widowControl w:val="0"/>
              <w:kinsoku/>
              <w:autoSpaceDE/>
              <w:autoSpaceDN/>
              <w:adjustRightInd/>
              <w:snapToGrid/>
              <w:spacing w:line="360" w:lineRule="auto"/>
              <w:ind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保证金数额：中标人按合同总价额即中标价的2％提交履约保证金。</w:t>
            </w:r>
          </w:p>
          <w:p w14:paraId="33A8AC52">
            <w:pPr>
              <w:widowControl w:val="0"/>
              <w:kinsoku/>
              <w:autoSpaceDE/>
              <w:autoSpaceDN/>
              <w:adjustRightInd/>
              <w:snapToGrid/>
              <w:spacing w:line="300" w:lineRule="exact"/>
              <w:ind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中标人以现金进行履约保证的，应将现金提交到以下指定的银行账户。</w:t>
            </w:r>
          </w:p>
          <w:p w14:paraId="68E79D01">
            <w:pPr>
              <w:widowControl w:val="0"/>
              <w:kinsoku/>
              <w:autoSpaceDE/>
              <w:autoSpaceDN/>
              <w:adjustRightInd/>
              <w:snapToGrid/>
              <w:spacing w:line="360" w:lineRule="auto"/>
              <w:ind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中标人以银行履约保函或保证保险方式担保履约的，应将银行履约保函或保证保险交至招标人保管。中标人提交银行履约保函或保证保险的担保期限不得少于中标项目的合同期限。银行履约保函或保证保险担保期限到期但中标项目尚未竣工验收的，中标人应当进行续保或者补缴履约保证金。中标人应当续保或者补缴履约保证金而没有续保或者补缴履约保证金的，招标人可以暂停支付中标人同等金额的项目工程款。</w:t>
            </w:r>
          </w:p>
          <w:p w14:paraId="187F19B0">
            <w:pPr>
              <w:widowControl w:val="0"/>
              <w:kinsoku/>
              <w:autoSpaceDE/>
              <w:autoSpaceDN/>
              <w:adjustRightInd/>
              <w:snapToGrid/>
              <w:spacing w:line="360" w:lineRule="auto"/>
              <w:ind w:left="2"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提交时限：中标人收到中标通知书次日起10个工作日内提交履约保证金，并在提交完毕次日起10日内与招标人（发包人）签订合同。汇入账户名称：中标后另行提供</w:t>
            </w:r>
          </w:p>
          <w:p w14:paraId="5F09451C">
            <w:pPr>
              <w:widowControl w:val="0"/>
              <w:kinsoku/>
              <w:autoSpaceDE/>
              <w:autoSpaceDN/>
              <w:adjustRightInd/>
              <w:snapToGrid/>
              <w:spacing w:line="360" w:lineRule="auto"/>
              <w:ind w:left="2"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汇入银行名称：</w:t>
            </w:r>
            <w:r>
              <w:rPr>
                <w:rFonts w:hint="eastAsia" w:ascii="宋体" w:hAnsi="宋体" w:eastAsia="宋体" w:cs="宋体"/>
                <w:snapToGrid/>
                <w:color w:val="auto"/>
                <w:sz w:val="22"/>
                <w:szCs w:val="18"/>
                <w:highlight w:val="none"/>
                <w:lang w:eastAsia="zh-CN"/>
              </w:rPr>
              <w:t>中标后另行提供</w:t>
            </w:r>
          </w:p>
          <w:p w14:paraId="01AD2AA7">
            <w:pPr>
              <w:widowControl w:val="0"/>
              <w:kinsoku/>
              <w:autoSpaceDE/>
              <w:autoSpaceDN/>
              <w:adjustRightInd/>
              <w:snapToGrid/>
              <w:spacing w:line="360" w:lineRule="auto"/>
              <w:ind w:left="2"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汇入银行账号：</w:t>
            </w:r>
            <w:r>
              <w:rPr>
                <w:rFonts w:hint="eastAsia" w:ascii="宋体" w:hAnsi="宋体" w:eastAsia="宋体" w:cs="宋体"/>
                <w:snapToGrid/>
                <w:color w:val="auto"/>
                <w:sz w:val="22"/>
                <w:szCs w:val="18"/>
                <w:highlight w:val="none"/>
                <w:lang w:eastAsia="zh-CN"/>
              </w:rPr>
              <w:t>中标后另行提供</w:t>
            </w:r>
          </w:p>
          <w:p w14:paraId="6B49F639">
            <w:pPr>
              <w:widowControl w:val="0"/>
              <w:kinsoku/>
              <w:autoSpaceDE/>
              <w:autoSpaceDN/>
              <w:adjustRightInd/>
              <w:snapToGrid/>
              <w:spacing w:line="360" w:lineRule="auto"/>
              <w:ind w:left="2" w:leftChars="1" w:firstLine="440" w:firstLineChars="200"/>
              <w:textAlignment w:val="auto"/>
              <w:rPr>
                <w:rStyle w:val="22"/>
                <w:rFonts w:hint="eastAsia" w:ascii="宋体" w:hAnsi="宋体" w:eastAsia="宋体" w:cs="宋体"/>
                <w:b w:val="0"/>
                <w:bCs w:val="0"/>
                <w:snapToGrid/>
                <w:color w:val="auto"/>
                <w:sz w:val="22"/>
                <w:szCs w:val="18"/>
                <w:highlight w:val="none"/>
                <w:lang w:eastAsia="zh-CN"/>
              </w:rPr>
            </w:pPr>
            <w:r>
              <w:rPr>
                <w:rStyle w:val="22"/>
                <w:rFonts w:hint="eastAsia" w:ascii="宋体" w:hAnsi="宋体" w:eastAsia="宋体" w:cs="宋体"/>
                <w:b w:val="0"/>
                <w:bCs w:val="0"/>
                <w:snapToGrid/>
                <w:color w:val="auto"/>
                <w:sz w:val="22"/>
                <w:szCs w:val="18"/>
                <w:highlight w:val="none"/>
                <w:lang w:eastAsia="zh-CN"/>
              </w:rPr>
              <w:t>市直预算单位作为招标人收取的履约保证金，纳入市财政代为管理的预算单位往来资金账户管理。其他单位作为招标人收取的履约保证金，由招标人自行指定账户管理。</w:t>
            </w:r>
          </w:p>
          <w:p w14:paraId="0F77D356">
            <w:pPr>
              <w:widowControl w:val="0"/>
              <w:kinsoku/>
              <w:autoSpaceDE/>
              <w:autoSpaceDN/>
              <w:adjustRightInd/>
              <w:snapToGrid/>
              <w:spacing w:line="360" w:lineRule="auto"/>
              <w:ind w:left="2" w:leftChars="1" w:firstLine="440" w:firstLineChars="200"/>
              <w:textAlignment w:val="auto"/>
              <w:rPr>
                <w:rStyle w:val="22"/>
                <w:rFonts w:hint="eastAsia" w:ascii="宋体" w:hAnsi="宋体" w:eastAsia="宋体" w:cs="宋体"/>
                <w:b w:val="0"/>
                <w:snapToGrid/>
                <w:color w:val="auto"/>
                <w:sz w:val="22"/>
                <w:szCs w:val="22"/>
                <w:highlight w:val="none"/>
                <w:lang w:eastAsia="zh-CN"/>
              </w:rPr>
            </w:pPr>
            <w:r>
              <w:rPr>
                <w:rStyle w:val="22"/>
                <w:rFonts w:hint="eastAsia" w:ascii="宋体" w:hAnsi="宋体" w:eastAsia="宋体" w:cs="宋体"/>
                <w:b w:val="0"/>
                <w:bCs w:val="0"/>
                <w:snapToGrid/>
                <w:color w:val="auto"/>
                <w:sz w:val="22"/>
                <w:szCs w:val="18"/>
                <w:highlight w:val="none"/>
                <w:lang w:eastAsia="zh-CN"/>
              </w:rPr>
              <w:t>中标人必须按上述要求提交履约保证金并与招标人（发包人）签订合同，超过时限未提交履约保证金或因中标人自身原因未在招标文件约定时限内签订合同的，其中标资格无效，招标人依据《中华人民共和国招标投标法实施条例》第五十五条规定依次确定其他中标候选人为中标人或重新招标。</w:t>
            </w:r>
          </w:p>
        </w:tc>
      </w:tr>
      <w:tr w14:paraId="39112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900C89A">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26</w:t>
            </w:r>
          </w:p>
        </w:tc>
        <w:tc>
          <w:tcPr>
            <w:tcW w:w="2091" w:type="dxa"/>
            <w:tcBorders>
              <w:top w:val="single" w:color="auto" w:sz="4" w:space="0"/>
              <w:left w:val="single" w:color="auto" w:sz="4" w:space="0"/>
              <w:bottom w:val="single" w:color="auto" w:sz="4" w:space="0"/>
              <w:right w:val="single" w:color="auto" w:sz="4" w:space="0"/>
            </w:tcBorders>
            <w:vAlign w:val="center"/>
          </w:tcPr>
          <w:p w14:paraId="3E1C9231">
            <w:pPr>
              <w:widowControl w:val="0"/>
              <w:kinsoku/>
              <w:autoSpaceDE/>
              <w:autoSpaceDN/>
              <w:spacing w:line="300" w:lineRule="exact"/>
              <w:ind w:firstLine="220" w:firstLineChars="100"/>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安全文明要求</w:t>
            </w:r>
          </w:p>
        </w:tc>
        <w:tc>
          <w:tcPr>
            <w:tcW w:w="7118" w:type="dxa"/>
            <w:tcBorders>
              <w:top w:val="single" w:color="auto" w:sz="4" w:space="0"/>
              <w:left w:val="single" w:color="auto" w:sz="4" w:space="0"/>
              <w:bottom w:val="single" w:color="auto" w:sz="4" w:space="0"/>
              <w:right w:val="single" w:color="auto" w:sz="4" w:space="0"/>
            </w:tcBorders>
            <w:vAlign w:val="center"/>
          </w:tcPr>
          <w:p w14:paraId="69212EE6">
            <w:pPr>
              <w:widowControl w:val="0"/>
              <w:kinsoku/>
              <w:autoSpaceDE/>
              <w:autoSpaceDN/>
              <w:spacing w:line="300" w:lineRule="exact"/>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必须确保安全文明施工，依据国家现行相关规定执行</w:t>
            </w:r>
          </w:p>
        </w:tc>
      </w:tr>
      <w:tr w14:paraId="327C2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28E233A">
            <w:pPr>
              <w:pStyle w:val="42"/>
              <w:widowControl w:val="0"/>
              <w:spacing w:before="0" w:beforeAutospacing="0" w:after="0" w:afterAutospacing="0" w:line="300" w:lineRule="exact"/>
              <w:jc w:val="center"/>
              <w:rPr>
                <w:rStyle w:val="22"/>
                <w:rFonts w:hint="eastAsia" w:cs="宋体"/>
                <w:b w:val="0"/>
                <w:bCs w:val="0"/>
                <w:color w:val="auto"/>
                <w:sz w:val="22"/>
                <w:szCs w:val="22"/>
                <w:highlight w:val="none"/>
              </w:rPr>
            </w:pPr>
            <w:r>
              <w:rPr>
                <w:rStyle w:val="22"/>
                <w:rFonts w:hint="eastAsia" w:hAnsi="Times New Roman" w:cs="宋体"/>
                <w:b w:val="0"/>
                <w:bCs w:val="0"/>
                <w:color w:val="auto"/>
                <w:sz w:val="22"/>
                <w:szCs w:val="22"/>
                <w:highlight w:val="none"/>
              </w:rPr>
              <w:t>27</w:t>
            </w:r>
          </w:p>
        </w:tc>
        <w:tc>
          <w:tcPr>
            <w:tcW w:w="2091" w:type="dxa"/>
            <w:tcBorders>
              <w:top w:val="single" w:color="auto" w:sz="4" w:space="0"/>
              <w:left w:val="single" w:color="auto" w:sz="4" w:space="0"/>
              <w:bottom w:val="single" w:color="auto" w:sz="4" w:space="0"/>
              <w:right w:val="single" w:color="auto" w:sz="4" w:space="0"/>
            </w:tcBorders>
            <w:vAlign w:val="center"/>
          </w:tcPr>
          <w:p w14:paraId="01EA4356">
            <w:pPr>
              <w:widowControl w:val="0"/>
              <w:kinsoku/>
              <w:autoSpaceDE/>
              <w:autoSpaceDN/>
              <w:spacing w:line="300" w:lineRule="exact"/>
              <w:ind w:firstLine="220" w:firstLineChars="100"/>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总包及分包规定</w:t>
            </w:r>
          </w:p>
        </w:tc>
        <w:tc>
          <w:tcPr>
            <w:tcW w:w="7118" w:type="dxa"/>
            <w:tcBorders>
              <w:top w:val="single" w:color="auto" w:sz="4" w:space="0"/>
              <w:left w:val="single" w:color="auto" w:sz="4" w:space="0"/>
              <w:bottom w:val="single" w:color="auto" w:sz="4" w:space="0"/>
              <w:right w:val="single" w:color="auto" w:sz="4" w:space="0"/>
            </w:tcBorders>
            <w:vAlign w:val="center"/>
          </w:tcPr>
          <w:p w14:paraId="1325F6DD">
            <w:pPr>
              <w:widowControl w:val="0"/>
              <w:kinsoku/>
              <w:autoSpaceDE/>
              <w:autoSpaceDN/>
              <w:spacing w:line="300" w:lineRule="exact"/>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不得违法分包。</w:t>
            </w:r>
          </w:p>
        </w:tc>
      </w:tr>
      <w:tr w14:paraId="325C3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0F39801">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28</w:t>
            </w:r>
          </w:p>
        </w:tc>
        <w:tc>
          <w:tcPr>
            <w:tcW w:w="2091" w:type="dxa"/>
            <w:tcBorders>
              <w:top w:val="single" w:color="auto" w:sz="4" w:space="0"/>
              <w:left w:val="single" w:color="auto" w:sz="4" w:space="0"/>
              <w:bottom w:val="single" w:color="auto" w:sz="4" w:space="0"/>
              <w:right w:val="single" w:color="auto" w:sz="4" w:space="0"/>
            </w:tcBorders>
            <w:vAlign w:val="center"/>
          </w:tcPr>
          <w:p w14:paraId="7C1B513A">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主要材料要求</w:t>
            </w:r>
          </w:p>
        </w:tc>
        <w:tc>
          <w:tcPr>
            <w:tcW w:w="7118" w:type="dxa"/>
            <w:tcBorders>
              <w:top w:val="single" w:color="auto" w:sz="4" w:space="0"/>
              <w:left w:val="single" w:color="auto" w:sz="4" w:space="0"/>
              <w:bottom w:val="single" w:color="auto" w:sz="4" w:space="0"/>
              <w:right w:val="single" w:color="auto" w:sz="4" w:space="0"/>
            </w:tcBorders>
            <w:vAlign w:val="center"/>
          </w:tcPr>
          <w:p w14:paraId="3F08095E">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因中标人自行采购的材料质量引起的工程质量问题由中标人承担所造成的一切损失。</w:t>
            </w:r>
          </w:p>
        </w:tc>
      </w:tr>
      <w:tr w14:paraId="203C7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right w:val="single" w:color="auto" w:sz="4" w:space="0"/>
            </w:tcBorders>
            <w:vAlign w:val="center"/>
          </w:tcPr>
          <w:p w14:paraId="170A9858">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29</w:t>
            </w:r>
          </w:p>
        </w:tc>
        <w:tc>
          <w:tcPr>
            <w:tcW w:w="2091" w:type="dxa"/>
            <w:tcBorders>
              <w:top w:val="single" w:color="auto" w:sz="4" w:space="0"/>
              <w:left w:val="single" w:color="auto" w:sz="4" w:space="0"/>
              <w:right w:val="single" w:color="auto" w:sz="4" w:space="0"/>
            </w:tcBorders>
            <w:vAlign w:val="center"/>
          </w:tcPr>
          <w:p w14:paraId="0C831A66">
            <w:pPr>
              <w:widowControl w:val="0"/>
              <w:kinsoku/>
              <w:autoSpaceDE/>
              <w:autoSpaceDN/>
              <w:spacing w:line="32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现场条件</w:t>
            </w:r>
          </w:p>
        </w:tc>
        <w:tc>
          <w:tcPr>
            <w:tcW w:w="7118" w:type="dxa"/>
            <w:tcBorders>
              <w:top w:val="single" w:color="auto" w:sz="4" w:space="0"/>
              <w:left w:val="single" w:color="auto" w:sz="4" w:space="0"/>
              <w:right w:val="single" w:color="auto" w:sz="4" w:space="0"/>
            </w:tcBorders>
            <w:vAlign w:val="center"/>
          </w:tcPr>
          <w:p w14:paraId="1C9877E6">
            <w:pPr>
              <w:widowControl w:val="0"/>
              <w:kinsoku/>
              <w:autoSpaceDE/>
              <w:autoSpaceDN/>
              <w:spacing w:line="320" w:lineRule="exact"/>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具备开工条件</w:t>
            </w:r>
          </w:p>
        </w:tc>
      </w:tr>
      <w:tr w14:paraId="1657E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9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AF771FD">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30</w:t>
            </w:r>
          </w:p>
        </w:tc>
        <w:tc>
          <w:tcPr>
            <w:tcW w:w="2091" w:type="dxa"/>
            <w:tcBorders>
              <w:top w:val="single" w:color="auto" w:sz="4" w:space="0"/>
              <w:left w:val="single" w:color="auto" w:sz="4" w:space="0"/>
              <w:bottom w:val="single" w:color="auto" w:sz="4" w:space="0"/>
              <w:right w:val="single" w:color="auto" w:sz="4" w:space="0"/>
            </w:tcBorders>
            <w:vAlign w:val="center"/>
          </w:tcPr>
          <w:p w14:paraId="11DCCD9B">
            <w:pPr>
              <w:pStyle w:val="12"/>
              <w:adjustRightInd w:val="0"/>
              <w:snapToGrid w:val="0"/>
              <w:spacing w:line="3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招标人提供的招标文件、图纸及其他资料</w:t>
            </w:r>
          </w:p>
        </w:tc>
        <w:tc>
          <w:tcPr>
            <w:tcW w:w="7118" w:type="dxa"/>
            <w:tcBorders>
              <w:top w:val="single" w:color="auto" w:sz="4" w:space="0"/>
              <w:left w:val="single" w:color="auto" w:sz="4" w:space="0"/>
              <w:bottom w:val="single" w:color="auto" w:sz="4" w:space="0"/>
              <w:right w:val="single" w:color="auto" w:sz="4" w:space="0"/>
            </w:tcBorders>
            <w:vAlign w:val="center"/>
          </w:tcPr>
          <w:p w14:paraId="5EC86CDA">
            <w:pPr>
              <w:widowControl w:val="0"/>
              <w:kinsoku/>
              <w:autoSpaceDE/>
              <w:autoSpaceDN/>
              <w:spacing w:line="360" w:lineRule="auto"/>
              <w:ind w:firstLine="442"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b/>
                <w:bCs/>
                <w:snapToGrid/>
                <w:color w:val="auto"/>
                <w:sz w:val="22"/>
                <w:szCs w:val="22"/>
                <w:highlight w:val="none"/>
                <w:bdr w:val="single" w:color="auto" w:sz="4" w:space="0"/>
                <w:lang w:eastAsia="zh-CN"/>
              </w:rPr>
              <w:t>√</w:t>
            </w:r>
            <w:r>
              <w:rPr>
                <w:rFonts w:hint="eastAsia" w:ascii="宋体" w:hAnsi="宋体" w:eastAsia="宋体" w:cs="宋体"/>
                <w:snapToGrid/>
                <w:color w:val="auto"/>
                <w:sz w:val="22"/>
                <w:szCs w:val="22"/>
                <w:highlight w:val="none"/>
                <w:lang w:eastAsia="zh-CN"/>
              </w:rPr>
              <w:t>招标文件（含附件资料）</w:t>
            </w:r>
          </w:p>
          <w:p w14:paraId="4A04D437">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u w:val="single"/>
                <w:lang w:eastAsia="zh-CN"/>
              </w:rPr>
            </w:pPr>
            <w:r>
              <w:rPr>
                <w:rFonts w:hint="eastAsia" w:ascii="宋体" w:hAnsi="宋体" w:eastAsia="宋体" w:cs="宋体"/>
                <w:snapToGrid/>
                <w:color w:val="auto"/>
                <w:sz w:val="22"/>
                <w:szCs w:val="22"/>
                <w:highlight w:val="none"/>
                <w:lang w:eastAsia="zh-CN"/>
              </w:rPr>
              <w:t>□</w:t>
            </w:r>
            <w:r>
              <w:rPr>
                <w:rFonts w:hint="eastAsia" w:ascii="宋体" w:hAnsi="宋体" w:eastAsia="宋体" w:cs="宋体"/>
                <w:bCs/>
                <w:snapToGrid/>
                <w:color w:val="auto"/>
                <w:sz w:val="22"/>
                <w:szCs w:val="22"/>
                <w:highlight w:val="none"/>
                <w:lang w:eastAsia="zh-CN"/>
              </w:rPr>
              <w:t>清单文本一份</w:t>
            </w:r>
          </w:p>
          <w:p w14:paraId="364E26D6">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w:t>
            </w:r>
            <w:r>
              <w:rPr>
                <w:rFonts w:hint="eastAsia" w:ascii="宋体" w:hAnsi="宋体" w:eastAsia="宋体" w:cs="宋体"/>
                <w:bCs/>
                <w:snapToGrid/>
                <w:color w:val="auto"/>
                <w:sz w:val="22"/>
                <w:szCs w:val="22"/>
                <w:highlight w:val="none"/>
                <w:lang w:eastAsia="zh-CN"/>
              </w:rPr>
              <w:t>勘察资料套份。</w:t>
            </w:r>
          </w:p>
          <w:p w14:paraId="6F34A5F3">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□图纸目录，</w:t>
            </w:r>
            <w:r>
              <w:rPr>
                <w:rFonts w:hint="eastAsia" w:ascii="宋体" w:hAnsi="宋体" w:eastAsia="宋体" w:cs="宋体"/>
                <w:bCs/>
                <w:snapToGrid/>
                <w:color w:val="auto"/>
                <w:sz w:val="22"/>
                <w:szCs w:val="22"/>
                <w:highlight w:val="none"/>
                <w:lang w:eastAsia="zh-CN"/>
              </w:rPr>
              <w:t>施工全图，</w:t>
            </w:r>
            <w:r>
              <w:rPr>
                <w:rFonts w:hint="eastAsia" w:ascii="宋体" w:hAnsi="宋体" w:eastAsia="宋体" w:cs="宋体"/>
                <w:snapToGrid/>
                <w:color w:val="auto"/>
                <w:sz w:val="22"/>
                <w:szCs w:val="22"/>
                <w:highlight w:val="none"/>
                <w:lang w:eastAsia="zh-CN"/>
              </w:rPr>
              <w:t>设计变更文件份。</w:t>
            </w:r>
          </w:p>
          <w:p w14:paraId="51CF3CAF">
            <w:pPr>
              <w:widowControl w:val="0"/>
              <w:kinsoku/>
              <w:autoSpaceDE/>
              <w:autoSpaceDN/>
              <w:spacing w:line="360" w:lineRule="auto"/>
              <w:ind w:firstLine="440" w:firstLineChars="200"/>
              <w:textAlignment w:val="auto"/>
              <w:rPr>
                <w:rFonts w:hint="eastAsia" w:ascii="宋体" w:hAnsi="宋体" w:eastAsia="宋体" w:cs="宋体"/>
                <w:bCs/>
                <w:snapToGrid/>
                <w:color w:val="auto"/>
                <w:sz w:val="22"/>
                <w:szCs w:val="22"/>
                <w:highlight w:val="none"/>
                <w:u w:val="single"/>
                <w:lang w:eastAsia="zh-CN"/>
              </w:rPr>
            </w:pPr>
            <w:r>
              <w:rPr>
                <w:rFonts w:hint="eastAsia" w:ascii="宋体" w:hAnsi="宋体" w:eastAsia="宋体" w:cs="宋体"/>
                <w:snapToGrid/>
                <w:color w:val="auto"/>
                <w:sz w:val="22"/>
                <w:szCs w:val="22"/>
                <w:highlight w:val="none"/>
                <w:lang w:eastAsia="zh-CN"/>
              </w:rPr>
              <w:t>□建设单位有关技术规定</w:t>
            </w:r>
          </w:p>
        </w:tc>
      </w:tr>
      <w:tr w14:paraId="0DEE8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4E62E6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31</w:t>
            </w:r>
          </w:p>
        </w:tc>
        <w:tc>
          <w:tcPr>
            <w:tcW w:w="2091" w:type="dxa"/>
            <w:tcBorders>
              <w:top w:val="single" w:color="auto" w:sz="4" w:space="0"/>
              <w:left w:val="single" w:color="auto" w:sz="4" w:space="0"/>
              <w:bottom w:val="single" w:color="auto" w:sz="4" w:space="0"/>
              <w:right w:val="single" w:color="auto" w:sz="4" w:space="0"/>
            </w:tcBorders>
            <w:vAlign w:val="center"/>
          </w:tcPr>
          <w:p w14:paraId="4D8E59AA">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投标文件递交截止及开标时间</w:t>
            </w:r>
          </w:p>
        </w:tc>
        <w:tc>
          <w:tcPr>
            <w:tcW w:w="7118" w:type="dxa"/>
            <w:tcBorders>
              <w:top w:val="single" w:color="auto" w:sz="4" w:space="0"/>
              <w:left w:val="single" w:color="auto" w:sz="4" w:space="0"/>
              <w:bottom w:val="single" w:color="auto" w:sz="4" w:space="0"/>
              <w:right w:val="single" w:color="auto" w:sz="4" w:space="0"/>
            </w:tcBorders>
            <w:vAlign w:val="center"/>
          </w:tcPr>
          <w:p w14:paraId="6912B675">
            <w:pPr>
              <w:widowControl w:val="0"/>
              <w:kinsoku/>
              <w:autoSpaceDE/>
              <w:autoSpaceDN/>
              <w:adjustRightInd/>
              <w:snapToGrid/>
              <w:spacing w:line="300" w:lineRule="exact"/>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2026年月日时分</w:t>
            </w:r>
          </w:p>
        </w:tc>
      </w:tr>
      <w:tr w14:paraId="0D1D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2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3FD67C7">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32</w:t>
            </w:r>
          </w:p>
        </w:tc>
        <w:tc>
          <w:tcPr>
            <w:tcW w:w="2091" w:type="dxa"/>
            <w:tcBorders>
              <w:top w:val="single" w:color="auto" w:sz="4" w:space="0"/>
              <w:left w:val="single" w:color="auto" w:sz="4" w:space="0"/>
              <w:bottom w:val="single" w:color="auto" w:sz="4" w:space="0"/>
              <w:right w:val="single" w:color="auto" w:sz="4" w:space="0"/>
            </w:tcBorders>
            <w:vAlign w:val="center"/>
          </w:tcPr>
          <w:p w14:paraId="7B830419">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开标地点</w:t>
            </w:r>
          </w:p>
        </w:tc>
        <w:tc>
          <w:tcPr>
            <w:tcW w:w="7118" w:type="dxa"/>
            <w:tcBorders>
              <w:top w:val="single" w:color="auto" w:sz="4" w:space="0"/>
              <w:left w:val="single" w:color="auto" w:sz="4" w:space="0"/>
              <w:bottom w:val="single" w:color="auto" w:sz="4" w:space="0"/>
              <w:right w:val="single" w:color="auto" w:sz="4" w:space="0"/>
            </w:tcBorders>
            <w:vAlign w:val="center"/>
          </w:tcPr>
          <w:p w14:paraId="6C4125DF">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投标人登陆六安市公共资源交易不见面开标系统参加开标活动。</w:t>
            </w:r>
          </w:p>
          <w:p w14:paraId="1A56C058">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招标人代表及代理机构工作人员在霍邱县公共资源交易中心不见面开标厅组织开标活动</w:t>
            </w:r>
          </w:p>
        </w:tc>
      </w:tr>
      <w:tr w14:paraId="7FE7D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6560F9A">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33</w:t>
            </w:r>
          </w:p>
        </w:tc>
        <w:tc>
          <w:tcPr>
            <w:tcW w:w="2091" w:type="dxa"/>
            <w:tcBorders>
              <w:top w:val="single" w:color="auto" w:sz="4" w:space="0"/>
              <w:left w:val="single" w:color="auto" w:sz="4" w:space="0"/>
              <w:bottom w:val="single" w:color="auto" w:sz="4" w:space="0"/>
              <w:right w:val="single" w:color="auto" w:sz="4" w:space="0"/>
            </w:tcBorders>
            <w:vAlign w:val="center"/>
          </w:tcPr>
          <w:p w14:paraId="6EA15F22">
            <w:pPr>
              <w:pStyle w:val="12"/>
              <w:adjustRightInd w:val="0"/>
              <w:snapToGrid w:val="0"/>
              <w:spacing w:line="300" w:lineRule="exact"/>
              <w:jc w:val="center"/>
              <w:rPr>
                <w:rFonts w:hint="eastAsia" w:hAnsi="宋体" w:cs="宋体"/>
                <w:b/>
                <w:color w:val="auto"/>
                <w:kern w:val="2"/>
                <w:sz w:val="22"/>
                <w:szCs w:val="22"/>
                <w:highlight w:val="none"/>
              </w:rPr>
            </w:pPr>
            <w:r>
              <w:rPr>
                <w:rFonts w:hint="eastAsia" w:hAnsi="宋体" w:cs="宋体"/>
                <w:b/>
                <w:color w:val="auto"/>
                <w:kern w:val="2"/>
                <w:sz w:val="22"/>
                <w:szCs w:val="22"/>
                <w:highlight w:val="none"/>
              </w:rPr>
              <w:t>递交投标文件注意事项</w:t>
            </w:r>
          </w:p>
        </w:tc>
        <w:tc>
          <w:tcPr>
            <w:tcW w:w="7118" w:type="dxa"/>
            <w:tcBorders>
              <w:top w:val="single" w:color="auto" w:sz="4" w:space="0"/>
              <w:left w:val="single" w:color="auto" w:sz="4" w:space="0"/>
              <w:bottom w:val="single" w:color="auto" w:sz="4" w:space="0"/>
              <w:right w:val="single" w:color="auto" w:sz="4" w:space="0"/>
            </w:tcBorders>
            <w:vAlign w:val="center"/>
          </w:tcPr>
          <w:p w14:paraId="3FCB9389">
            <w:pPr>
              <w:pStyle w:val="11"/>
              <w:ind w:firstLine="442" w:firstLineChars="200"/>
              <w:jc w:val="left"/>
              <w:rPr>
                <w:rFonts w:hint="eastAsia" w:hAnsi="宋体" w:cs="宋体"/>
                <w:b/>
                <w:color w:val="auto"/>
                <w:kern w:val="2"/>
                <w:sz w:val="22"/>
                <w:szCs w:val="20"/>
                <w:highlight w:val="none"/>
              </w:rPr>
            </w:pPr>
            <w:r>
              <w:rPr>
                <w:rFonts w:hint="eastAsia" w:hAnsi="宋体" w:cs="宋体"/>
                <w:b/>
                <w:color w:val="auto"/>
                <w:sz w:val="22"/>
                <w:szCs w:val="22"/>
                <w:highlight w:val="none"/>
              </w:rPr>
              <w:t>加密电子版投标文件必须在投标截止时间前网上递交。</w:t>
            </w:r>
          </w:p>
        </w:tc>
      </w:tr>
      <w:tr w14:paraId="20A57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89"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C0D4310">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34</w:t>
            </w:r>
          </w:p>
        </w:tc>
        <w:tc>
          <w:tcPr>
            <w:tcW w:w="2091" w:type="dxa"/>
            <w:tcBorders>
              <w:top w:val="single" w:color="auto" w:sz="4" w:space="0"/>
              <w:left w:val="single" w:color="auto" w:sz="4" w:space="0"/>
              <w:bottom w:val="single" w:color="auto" w:sz="4" w:space="0"/>
              <w:right w:val="single" w:color="auto" w:sz="4" w:space="0"/>
            </w:tcBorders>
            <w:vAlign w:val="center"/>
          </w:tcPr>
          <w:p w14:paraId="23D2AFD4">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解密要求</w:t>
            </w:r>
          </w:p>
        </w:tc>
        <w:tc>
          <w:tcPr>
            <w:tcW w:w="7118" w:type="dxa"/>
            <w:tcBorders>
              <w:top w:val="single" w:color="auto" w:sz="4" w:space="0"/>
              <w:left w:val="single" w:color="auto" w:sz="4" w:space="0"/>
              <w:bottom w:val="single" w:color="auto" w:sz="4" w:space="0"/>
              <w:right w:val="single" w:color="auto" w:sz="4" w:space="0"/>
            </w:tcBorders>
            <w:vAlign w:val="center"/>
          </w:tcPr>
          <w:p w14:paraId="64B02AF6">
            <w:pPr>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1、对加密电子版投标文件进行两次解密，开标时由投标人用CA锁先行解密，然后由招标人或其代理机构对投标文件进行解密。</w:t>
            </w:r>
          </w:p>
          <w:p w14:paraId="556CFC21">
            <w:pPr>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本项目采用不见面开标（网上解密）方式，投标人无需到开标现场进行解密，采取网上解密方式解密投标文件。投标人远程解密方式：投标人在开标时间前使用CA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六安市公共资源交易不见面开标系统操作手册（投标人）”。</w:t>
            </w:r>
          </w:p>
          <w:p w14:paraId="511152E2">
            <w:pPr>
              <w:widowControl w:val="0"/>
              <w:kinsoku/>
              <w:autoSpaceDE/>
              <w:autoSpaceDN/>
              <w:adjustRightInd/>
              <w:snapToGrid/>
              <w:spacing w:line="360" w:lineRule="auto"/>
              <w:ind w:firstLine="440" w:firstLineChars="200"/>
              <w:textAlignment w:val="auto"/>
              <w:rPr>
                <w:rFonts w:ascii="宋体" w:hAnsi="Times New Roman" w:eastAsia="宋体" w:cs="Times New Roman"/>
                <w:snapToGrid/>
                <w:color w:val="auto"/>
                <w:sz w:val="22"/>
                <w:szCs w:val="18"/>
                <w:highlight w:val="none"/>
                <w:lang w:eastAsia="zh-CN"/>
              </w:rPr>
            </w:pPr>
            <w:r>
              <w:rPr>
                <w:rFonts w:hint="eastAsia" w:ascii="宋体" w:hAnsi="宋体" w:eastAsia="宋体" w:cs="宋体"/>
                <w:snapToGrid/>
                <w:color w:val="auto"/>
                <w:sz w:val="22"/>
                <w:szCs w:val="22"/>
                <w:highlight w:val="none"/>
                <w:lang w:eastAsia="zh-CN"/>
              </w:rPr>
              <w:t>3、</w:t>
            </w:r>
            <w:r>
              <w:rPr>
                <w:rFonts w:hint="eastAsia" w:ascii="宋体" w:hAnsi="宋体" w:eastAsia="宋体" w:cs="宋体"/>
                <w:snapToGrid/>
                <w:color w:val="auto"/>
                <w:sz w:val="22"/>
                <w:szCs w:val="22"/>
                <w:highlight w:val="none"/>
                <w:lang w:eastAsia="zh-CN" w:bidi="ar"/>
              </w:rPr>
              <w:t>解密时间：解密程序开始后每个投标人均应在</w:t>
            </w:r>
            <w:r>
              <w:rPr>
                <w:rFonts w:hint="eastAsia" w:ascii="宋体" w:hAnsi="宋体" w:eastAsia="宋体" w:cs="宋体"/>
                <w:snapToGrid/>
                <w:color w:val="auto"/>
                <w:sz w:val="22"/>
                <w:szCs w:val="22"/>
                <w:highlight w:val="none"/>
                <w:lang w:eastAsia="zh-CN"/>
              </w:rPr>
              <w:t>解密指令发出后</w:t>
            </w:r>
            <w:r>
              <w:rPr>
                <w:rFonts w:hint="eastAsia" w:ascii="宋体" w:hAnsi="宋体" w:eastAsia="宋体" w:cs="宋体"/>
                <w:snapToGrid/>
                <w:color w:val="auto"/>
                <w:sz w:val="22"/>
                <w:szCs w:val="22"/>
                <w:highlight w:val="none"/>
                <w:lang w:eastAsia="zh-CN" w:bidi="ar"/>
              </w:rPr>
              <w:t>30分钟内完成解密，否则响应文件将被拒绝。</w:t>
            </w:r>
          </w:p>
        </w:tc>
      </w:tr>
      <w:tr w14:paraId="02A4B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074EB98C">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35</w:t>
            </w:r>
          </w:p>
        </w:tc>
        <w:tc>
          <w:tcPr>
            <w:tcW w:w="2091" w:type="dxa"/>
            <w:tcBorders>
              <w:top w:val="single" w:color="auto" w:sz="4" w:space="0"/>
              <w:left w:val="single" w:color="auto" w:sz="4" w:space="0"/>
              <w:bottom w:val="single" w:color="auto" w:sz="4" w:space="0"/>
              <w:right w:val="single" w:color="auto" w:sz="4" w:space="0"/>
            </w:tcBorders>
            <w:vAlign w:val="center"/>
          </w:tcPr>
          <w:p w14:paraId="7230E55B">
            <w:pPr>
              <w:pStyle w:val="12"/>
              <w:adjustRightInd w:val="0"/>
              <w:snapToGrid w:val="0"/>
              <w:spacing w:line="3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开标注意事项</w:t>
            </w:r>
          </w:p>
        </w:tc>
        <w:tc>
          <w:tcPr>
            <w:tcW w:w="7118" w:type="dxa"/>
            <w:tcBorders>
              <w:top w:val="single" w:color="auto" w:sz="4" w:space="0"/>
              <w:left w:val="single" w:color="auto" w:sz="4" w:space="0"/>
              <w:bottom w:val="single" w:color="auto" w:sz="4" w:space="0"/>
              <w:right w:val="single" w:color="auto" w:sz="4" w:space="0"/>
            </w:tcBorders>
            <w:vAlign w:val="center"/>
          </w:tcPr>
          <w:p w14:paraId="58DBC86C">
            <w:pPr>
              <w:pStyle w:val="17"/>
              <w:tabs>
                <w:tab w:val="right" w:leader="dot" w:pos="8778"/>
                <w:tab w:val="clear" w:pos="9345"/>
              </w:tabs>
              <w:spacing w:line="420" w:lineRule="exact"/>
              <w:ind w:left="0" w:firstLine="440" w:firstLineChars="200"/>
              <w:rPr>
                <w:rFonts w:hint="eastAsia" w:hAnsi="宋体" w:cs="宋体"/>
                <w:color w:val="auto"/>
                <w:kern w:val="2"/>
                <w:sz w:val="22"/>
                <w:szCs w:val="22"/>
                <w:highlight w:val="none"/>
              </w:rPr>
            </w:pPr>
            <w:r>
              <w:rPr>
                <w:rFonts w:hint="eastAsia" w:hAnsi="宋体" w:cs="宋体"/>
                <w:bCs/>
                <w:color w:val="auto"/>
                <w:sz w:val="22"/>
                <w:szCs w:val="22"/>
                <w:highlight w:val="none"/>
                <w:shd w:val="clear" w:color="auto" w:fill="FFFFFF"/>
                <w:lang w:bidi="ar"/>
              </w:rPr>
              <w:t>参加本项目的投标人应提前准备好电脑、耳麦等相关设备，确保开标顺利进行，如因设备造成的问题由投标人自行负责。</w:t>
            </w:r>
          </w:p>
        </w:tc>
      </w:tr>
      <w:tr w14:paraId="79218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03AE31A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36</w:t>
            </w:r>
          </w:p>
        </w:tc>
        <w:tc>
          <w:tcPr>
            <w:tcW w:w="2091" w:type="dxa"/>
            <w:tcBorders>
              <w:top w:val="single" w:color="auto" w:sz="4" w:space="0"/>
              <w:left w:val="single" w:color="auto" w:sz="4" w:space="0"/>
              <w:bottom w:val="single" w:color="auto" w:sz="4" w:space="0"/>
              <w:right w:val="single" w:color="auto" w:sz="4" w:space="0"/>
            </w:tcBorders>
            <w:vAlign w:val="center"/>
          </w:tcPr>
          <w:p w14:paraId="4CB2A2C4">
            <w:pPr>
              <w:pStyle w:val="12"/>
              <w:adjustRightInd w:val="0"/>
              <w:snapToGrid w:val="0"/>
              <w:spacing w:line="300" w:lineRule="exact"/>
              <w:jc w:val="center"/>
              <w:rPr>
                <w:rFonts w:hint="eastAsia" w:hAnsi="宋体" w:cs="宋体"/>
                <w:b/>
                <w:color w:val="auto"/>
                <w:kern w:val="2"/>
                <w:sz w:val="22"/>
                <w:szCs w:val="22"/>
                <w:highlight w:val="none"/>
              </w:rPr>
            </w:pPr>
            <w:r>
              <w:rPr>
                <w:rFonts w:hint="eastAsia" w:hAnsi="宋体" w:cs="宋体"/>
                <w:b/>
                <w:color w:val="auto"/>
                <w:kern w:val="2"/>
                <w:sz w:val="22"/>
                <w:szCs w:val="22"/>
                <w:highlight w:val="none"/>
              </w:rPr>
              <w:t>评标委员会组建</w:t>
            </w:r>
          </w:p>
        </w:tc>
        <w:tc>
          <w:tcPr>
            <w:tcW w:w="7118" w:type="dxa"/>
            <w:tcBorders>
              <w:top w:val="single" w:color="auto" w:sz="4" w:space="0"/>
              <w:left w:val="single" w:color="auto" w:sz="4" w:space="0"/>
              <w:bottom w:val="single" w:color="auto" w:sz="4" w:space="0"/>
              <w:right w:val="single" w:color="auto" w:sz="4" w:space="0"/>
            </w:tcBorders>
            <w:vAlign w:val="center"/>
          </w:tcPr>
          <w:p w14:paraId="7C1B094A">
            <w:pPr>
              <w:widowControl w:val="0"/>
              <w:kinsoku/>
              <w:autoSpaceDE/>
              <w:autoSpaceDN/>
              <w:adjustRightInd/>
              <w:snapToGrid/>
              <w:spacing w:line="360" w:lineRule="auto"/>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评标委员会构成：9人</w:t>
            </w:r>
          </w:p>
          <w:p w14:paraId="34405378">
            <w:pPr>
              <w:widowControl w:val="0"/>
              <w:kinsoku/>
              <w:autoSpaceDE/>
              <w:autoSpaceDN/>
              <w:adjustRightInd/>
              <w:snapToGrid/>
              <w:spacing w:line="360" w:lineRule="auto"/>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其中招标人代表3人，专家6人，</w:t>
            </w:r>
          </w:p>
          <w:p w14:paraId="22CEF88A">
            <w:pPr>
              <w:widowControl w:val="0"/>
              <w:kinsoku/>
              <w:autoSpaceDE/>
              <w:autoSpaceDN/>
              <w:adjustRightInd/>
              <w:snapToGrid/>
              <w:spacing w:line="360" w:lineRule="auto"/>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评标专家确定方式：从</w:t>
            </w:r>
            <w:r>
              <w:rPr>
                <w:rFonts w:hint="eastAsia" w:ascii="宋体" w:hAnsi="宋体" w:eastAsia="宋体" w:cs="宋体"/>
                <w:snapToGrid/>
                <w:color w:val="auto"/>
                <w:sz w:val="22"/>
                <w:szCs w:val="22"/>
                <w:highlight w:val="none"/>
                <w:lang w:val="en-US" w:eastAsia="zh-CN"/>
              </w:rPr>
              <w:t>安徽省公共资源交易评标评审专家</w:t>
            </w:r>
            <w:r>
              <w:rPr>
                <w:rFonts w:hint="eastAsia" w:ascii="宋体" w:hAnsi="宋体" w:eastAsia="宋体" w:cs="宋体"/>
                <w:snapToGrid/>
                <w:color w:val="auto"/>
                <w:sz w:val="22"/>
                <w:szCs w:val="22"/>
                <w:highlight w:val="none"/>
                <w:lang w:eastAsia="zh-CN"/>
              </w:rPr>
              <w:t>库中随机抽取</w:t>
            </w:r>
          </w:p>
        </w:tc>
      </w:tr>
      <w:tr w14:paraId="5BE42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63A30B7">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37</w:t>
            </w:r>
          </w:p>
        </w:tc>
        <w:tc>
          <w:tcPr>
            <w:tcW w:w="2091" w:type="dxa"/>
            <w:tcBorders>
              <w:top w:val="single" w:color="auto" w:sz="4" w:space="0"/>
              <w:left w:val="single" w:color="auto" w:sz="4" w:space="0"/>
              <w:bottom w:val="single" w:color="auto" w:sz="4" w:space="0"/>
              <w:right w:val="single" w:color="auto" w:sz="4" w:space="0"/>
            </w:tcBorders>
            <w:vAlign w:val="center"/>
          </w:tcPr>
          <w:p w14:paraId="516B974C">
            <w:pPr>
              <w:pStyle w:val="12"/>
              <w:adjustRightInd w:val="0"/>
              <w:snapToGrid w:val="0"/>
              <w:spacing w:line="300" w:lineRule="exact"/>
              <w:jc w:val="center"/>
              <w:rPr>
                <w:rFonts w:hint="eastAsia" w:hAnsi="宋体" w:cs="宋体"/>
                <w:b/>
                <w:color w:val="auto"/>
                <w:kern w:val="2"/>
                <w:sz w:val="22"/>
                <w:szCs w:val="22"/>
                <w:highlight w:val="none"/>
              </w:rPr>
            </w:pPr>
            <w:r>
              <w:rPr>
                <w:rFonts w:hint="eastAsia" w:hAnsi="宋体" w:cs="宋体"/>
                <w:bCs/>
                <w:color w:val="auto"/>
                <w:kern w:val="2"/>
                <w:sz w:val="22"/>
                <w:szCs w:val="22"/>
                <w:highlight w:val="none"/>
              </w:rPr>
              <w:t>评标注意事项</w:t>
            </w:r>
          </w:p>
        </w:tc>
        <w:tc>
          <w:tcPr>
            <w:tcW w:w="7118" w:type="dxa"/>
            <w:tcBorders>
              <w:top w:val="single" w:color="auto" w:sz="4" w:space="0"/>
              <w:left w:val="single" w:color="auto" w:sz="4" w:space="0"/>
              <w:bottom w:val="single" w:color="auto" w:sz="4" w:space="0"/>
              <w:right w:val="single" w:color="auto" w:sz="4" w:space="0"/>
            </w:tcBorders>
            <w:vAlign w:val="center"/>
          </w:tcPr>
          <w:p w14:paraId="27982F01">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1、投标人在制作投标文件时，须将招标文件要求的资质资格、社保缴费证明、奖项、业绩、荣誉等相关资料原件的扫描件编入投标文件中，评标委员会在评审时以投标文件编入的信息原件扫描件为评审依据（</w:t>
            </w:r>
            <w:r>
              <w:rPr>
                <w:rFonts w:hint="eastAsia" w:ascii="宋体" w:hAnsi="宋体" w:eastAsia="宋体" w:cs="宋体"/>
                <w:bCs/>
                <w:snapToGrid/>
                <w:color w:val="auto"/>
                <w:sz w:val="22"/>
                <w:szCs w:val="22"/>
                <w:highlight w:val="none"/>
                <w:lang w:eastAsia="zh-CN"/>
              </w:rPr>
              <w:t>其中：</w:t>
            </w:r>
            <w:r>
              <w:rPr>
                <w:rFonts w:ascii="宋体" w:hAnsi="宋体" w:eastAsia="宋体" w:cs="宋体"/>
                <w:bCs/>
                <w:snapToGrid/>
                <w:color w:val="auto"/>
                <w:sz w:val="22"/>
                <w:szCs w:val="22"/>
                <w:highlight w:val="none"/>
                <w:lang w:eastAsia="zh-CN"/>
              </w:rPr>
              <w:t>一级建造师电子注册证书</w:t>
            </w:r>
            <w:r>
              <w:rPr>
                <w:rFonts w:hint="eastAsia" w:ascii="宋体" w:hAnsi="宋体" w:eastAsia="宋体" w:cs="宋体"/>
                <w:bCs/>
                <w:snapToGrid/>
                <w:color w:val="auto"/>
                <w:sz w:val="22"/>
                <w:szCs w:val="22"/>
                <w:highlight w:val="none"/>
                <w:lang w:eastAsia="zh-CN"/>
              </w:rPr>
              <w:t>的评审</w:t>
            </w:r>
            <w:r>
              <w:rPr>
                <w:rFonts w:ascii="宋体" w:hAnsi="宋体" w:eastAsia="宋体" w:cs="宋体"/>
                <w:bCs/>
                <w:snapToGrid/>
                <w:color w:val="auto"/>
                <w:sz w:val="22"/>
                <w:szCs w:val="22"/>
                <w:highlight w:val="none"/>
                <w:lang w:eastAsia="zh-CN"/>
              </w:rPr>
              <w:t>应按《住房和城乡建设部办公厅关于全面实行一级建造师电子注册证书的通知》(建办市〔2021〕40号)执行</w:t>
            </w:r>
            <w:r>
              <w:rPr>
                <w:rFonts w:hint="eastAsia" w:ascii="宋体" w:hAnsi="宋体" w:eastAsia="宋体" w:cs="宋体"/>
                <w:bCs/>
                <w:snapToGrid/>
                <w:color w:val="auto"/>
                <w:sz w:val="22"/>
                <w:szCs w:val="22"/>
                <w:highlight w:val="none"/>
                <w:lang w:eastAsia="zh-CN"/>
              </w:rPr>
              <w:t>，具体见技术标二评审说明</w:t>
            </w:r>
            <w:r>
              <w:rPr>
                <w:rFonts w:hint="eastAsia" w:ascii="宋体" w:hAnsi="宋体" w:eastAsia="宋体" w:cs="宋体"/>
                <w:snapToGrid/>
                <w:color w:val="auto"/>
                <w:sz w:val="22"/>
                <w:szCs w:val="22"/>
                <w:highlight w:val="none"/>
                <w:lang w:eastAsia="zh-CN"/>
              </w:rPr>
              <w:t>）。编入投标文件的各种证书、证照、证明、文件、业绩、奖项、荣誉等相关资料的扫描件的原件，其真实性、准确性、完整性等均由投标人负责，编入投标文件的原件扫描件必须与原件一致，否则按投标无效或废标处理。</w:t>
            </w:r>
          </w:p>
          <w:p w14:paraId="144FFE86">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2、评标顺序：先开评技术标一、再开评技术标二，最后开评商务标。</w:t>
            </w:r>
          </w:p>
        </w:tc>
      </w:tr>
      <w:tr w14:paraId="2CAFC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AC2DAE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38</w:t>
            </w:r>
          </w:p>
        </w:tc>
        <w:tc>
          <w:tcPr>
            <w:tcW w:w="2091" w:type="dxa"/>
            <w:tcBorders>
              <w:top w:val="single" w:color="auto" w:sz="4" w:space="0"/>
              <w:left w:val="single" w:color="auto" w:sz="4" w:space="0"/>
              <w:bottom w:val="single" w:color="auto" w:sz="4" w:space="0"/>
              <w:right w:val="single" w:color="auto" w:sz="4" w:space="0"/>
            </w:tcBorders>
            <w:vAlign w:val="center"/>
          </w:tcPr>
          <w:p w14:paraId="0053C3A8">
            <w:pPr>
              <w:pStyle w:val="12"/>
              <w:adjustRightInd w:val="0"/>
              <w:snapToGrid w:val="0"/>
              <w:spacing w:line="3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解释权</w:t>
            </w:r>
          </w:p>
        </w:tc>
        <w:tc>
          <w:tcPr>
            <w:tcW w:w="7118" w:type="dxa"/>
            <w:tcBorders>
              <w:top w:val="single" w:color="auto" w:sz="4" w:space="0"/>
              <w:left w:val="single" w:color="auto" w:sz="4" w:space="0"/>
              <w:bottom w:val="single" w:color="auto" w:sz="4" w:space="0"/>
              <w:right w:val="single" w:color="auto" w:sz="4" w:space="0"/>
            </w:tcBorders>
            <w:vAlign w:val="center"/>
          </w:tcPr>
          <w:p w14:paraId="2885B64F">
            <w:pPr>
              <w:pStyle w:val="12"/>
              <w:adjustRightInd w:val="0"/>
              <w:snapToGrid w:val="0"/>
              <w:spacing w:line="360" w:lineRule="auto"/>
              <w:ind w:firstLine="440" w:firstLineChars="200"/>
              <w:jc w:val="left"/>
              <w:rPr>
                <w:rFonts w:hint="eastAsia" w:hAnsi="宋体" w:cs="宋体"/>
                <w:b/>
                <w:color w:val="auto"/>
                <w:kern w:val="2"/>
                <w:sz w:val="22"/>
                <w:szCs w:val="22"/>
                <w:highlight w:val="none"/>
              </w:rPr>
            </w:pPr>
            <w:r>
              <w:rPr>
                <w:rFonts w:hint="eastAsia" w:hAnsi="宋体" w:cs="宋体"/>
                <w:bCs/>
                <w:color w:val="auto"/>
                <w:kern w:val="2"/>
                <w:sz w:val="22"/>
                <w:szCs w:val="22"/>
                <w:highlight w:val="none"/>
              </w:rPr>
              <w:t>本招标文件的解释权在招标人。</w:t>
            </w:r>
          </w:p>
        </w:tc>
      </w:tr>
      <w:tr w14:paraId="1F40B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EE40C14">
            <w:pPr>
              <w:widowControl w:val="0"/>
              <w:kinsoku/>
              <w:autoSpaceDE/>
              <w:autoSpaceDN/>
              <w:spacing w:line="300" w:lineRule="exact"/>
              <w:jc w:val="center"/>
              <w:textAlignment w:val="auto"/>
              <w:rPr>
                <w:rFonts w:hint="eastAsia" w:ascii="宋体" w:hAnsi="宋体" w:eastAsia="宋体" w:cs="宋体"/>
                <w:snapToGrid/>
                <w:color w:val="auto"/>
                <w:sz w:val="22"/>
                <w:szCs w:val="20"/>
                <w:highlight w:val="none"/>
                <w:lang w:eastAsia="zh-CN"/>
              </w:rPr>
            </w:pPr>
            <w:r>
              <w:rPr>
                <w:rFonts w:hint="eastAsia" w:ascii="宋体" w:hAnsi="宋体" w:eastAsia="宋体" w:cs="宋体"/>
                <w:snapToGrid/>
                <w:color w:val="auto"/>
                <w:sz w:val="22"/>
                <w:szCs w:val="20"/>
                <w:highlight w:val="none"/>
                <w:lang w:eastAsia="zh-CN"/>
              </w:rPr>
              <w:t>39</w:t>
            </w:r>
          </w:p>
        </w:tc>
        <w:tc>
          <w:tcPr>
            <w:tcW w:w="2091" w:type="dxa"/>
            <w:tcBorders>
              <w:top w:val="single" w:color="auto" w:sz="4" w:space="0"/>
              <w:left w:val="single" w:color="auto" w:sz="4" w:space="0"/>
              <w:bottom w:val="single" w:color="auto" w:sz="4" w:space="0"/>
              <w:right w:val="single" w:color="auto" w:sz="4" w:space="0"/>
            </w:tcBorders>
            <w:vAlign w:val="center"/>
          </w:tcPr>
          <w:p w14:paraId="3DB04511">
            <w:pPr>
              <w:pStyle w:val="12"/>
              <w:adjustRightInd w:val="0"/>
              <w:snapToGrid w:val="0"/>
              <w:spacing w:line="300" w:lineRule="exact"/>
              <w:jc w:val="center"/>
              <w:rPr>
                <w:rFonts w:hint="eastAsia" w:hAnsi="宋体" w:cs="宋体"/>
                <w:bCs/>
                <w:color w:val="auto"/>
                <w:kern w:val="2"/>
                <w:sz w:val="22"/>
                <w:szCs w:val="22"/>
                <w:highlight w:val="none"/>
              </w:rPr>
            </w:pPr>
            <w:r>
              <w:rPr>
                <w:rFonts w:hint="eastAsia" w:hAnsi="宋体" w:cs="宋体"/>
                <w:bCs/>
                <w:color w:val="auto"/>
                <w:kern w:val="2"/>
                <w:sz w:val="22"/>
                <w:szCs w:val="22"/>
                <w:highlight w:val="none"/>
              </w:rPr>
              <w:t>人员到岗履职要求</w:t>
            </w:r>
          </w:p>
        </w:tc>
        <w:tc>
          <w:tcPr>
            <w:tcW w:w="7118" w:type="dxa"/>
            <w:tcBorders>
              <w:top w:val="single" w:color="auto" w:sz="4" w:space="0"/>
              <w:left w:val="single" w:color="auto" w:sz="4" w:space="0"/>
              <w:bottom w:val="single" w:color="auto" w:sz="4" w:space="0"/>
              <w:right w:val="single" w:color="auto" w:sz="4" w:space="0"/>
            </w:tcBorders>
            <w:vAlign w:val="center"/>
          </w:tcPr>
          <w:p w14:paraId="2E5662EF">
            <w:pPr>
              <w:pStyle w:val="12"/>
              <w:adjustRightInd w:val="0"/>
              <w:snapToGrid w:val="0"/>
              <w:spacing w:line="360" w:lineRule="auto"/>
              <w:ind w:firstLine="440" w:firstLineChars="200"/>
              <w:jc w:val="left"/>
              <w:rPr>
                <w:rFonts w:hint="eastAsia" w:hAnsi="宋体" w:cs="宋体"/>
                <w:bCs/>
                <w:color w:val="auto"/>
                <w:kern w:val="2"/>
                <w:sz w:val="22"/>
                <w:szCs w:val="22"/>
                <w:highlight w:val="none"/>
              </w:rPr>
            </w:pPr>
            <w:r>
              <w:rPr>
                <w:rFonts w:hint="eastAsia" w:hAnsi="宋体" w:cs="宋体"/>
                <w:bCs/>
                <w:color w:val="auto"/>
                <w:kern w:val="2"/>
                <w:sz w:val="22"/>
                <w:szCs w:val="22"/>
                <w:highlight w:val="none"/>
              </w:rPr>
              <w:t>投标人一旦中标，资格审查申请书或投标文件所报本项目的项目经理（建造师）、技术负责人、安全负责人、施工员等，在整个项目施工期间必须在岗在位，项目经理（建造师）每天在岗工作时间不得少于8个小时，每月不得少于22天。中标人（承包人）及其项目班子成员未能按照承诺到岗尽职的，招标人（发包人）将视情况的严重程度对其作出相应处理，给予警告、责令整改、直至终止合同。对于终止合同的，招标人（发包人）可以停止支付工程款项，扣留任何未付的工程进度款，以补偿建设单位受到的损失包括工期延误损失。</w:t>
            </w:r>
          </w:p>
          <w:p w14:paraId="431E48C9">
            <w:pPr>
              <w:pStyle w:val="12"/>
              <w:adjustRightInd w:val="0"/>
              <w:snapToGrid w:val="0"/>
              <w:spacing w:line="360" w:lineRule="auto"/>
              <w:ind w:firstLine="440" w:firstLineChars="200"/>
              <w:jc w:val="left"/>
              <w:rPr>
                <w:rFonts w:hint="eastAsia" w:hAnsi="宋体" w:cs="宋体"/>
                <w:bCs/>
                <w:color w:val="auto"/>
                <w:kern w:val="2"/>
                <w:sz w:val="22"/>
                <w:szCs w:val="22"/>
                <w:highlight w:val="none"/>
              </w:rPr>
            </w:pPr>
            <w:r>
              <w:rPr>
                <w:rFonts w:hint="eastAsia" w:hAnsi="宋体" w:cs="宋体"/>
                <w:bCs/>
                <w:color w:val="auto"/>
                <w:kern w:val="2"/>
                <w:sz w:val="22"/>
                <w:szCs w:val="22"/>
                <w:highlight w:val="none"/>
              </w:rPr>
              <w:t>中标人（承包人）不得擅自更换资格审查和投标时所报项目经理（建造师）、技术负责人和其他班子成员。因病且长期（至少在六个月及其以上）不能履行职责确需更换的（短期即六个月以内因病不能履行岗位职责的，由中标人临时指定不低于该生病人员资质、资历和技术水平的人员代为行使职责，康复后应立即返岗履职），须凭县级及以上医院出具的盖有医院公章的证明、病历原件提前14天通知招标人（发包人）并取得招标人同意；更换后的人员不得低于中标人投标时所报人员资质（资格）、业绩、奖项、信誉等。中标人（承包人）更换项目经理或班子成员，即使征得了发包人同意，该行为仍视为中标人（承包人）违约（属于去世或突发性事故、灾难致残、病危或因癌症等原因已失去履行岗位职责能力的除外），若更换项目经理（建造师）的，按中标价的1%支付违约金，按中标价的1%计算金额少于20万元的，按20万元支付违约金；更换班子其他人员按中标价的0.5%支付违约金，按中标价的0.5%计算金额少于10万元的，按10万元支付违约金。因病被更换的项目经理（建造师）或项目班子成员在治疗及康复期内（至少六个月）参与项目投标的，作投标无效处理。招标人认为中标人有不能胜任工作的项目班子成员的，可要求中标人（承包人）更换和调整，直到满意为止。</w:t>
            </w:r>
          </w:p>
          <w:p w14:paraId="7BDB1850">
            <w:pPr>
              <w:pStyle w:val="12"/>
              <w:adjustRightInd w:val="0"/>
              <w:snapToGrid w:val="0"/>
              <w:spacing w:line="360" w:lineRule="auto"/>
              <w:ind w:firstLine="440" w:firstLineChars="200"/>
              <w:jc w:val="left"/>
              <w:rPr>
                <w:rFonts w:hint="eastAsia" w:hAnsi="宋体" w:cs="宋体"/>
                <w:bCs/>
                <w:color w:val="auto"/>
                <w:kern w:val="2"/>
                <w:sz w:val="22"/>
                <w:szCs w:val="22"/>
                <w:highlight w:val="none"/>
              </w:rPr>
            </w:pPr>
            <w:r>
              <w:rPr>
                <w:rFonts w:hint="eastAsia" w:hAnsi="宋体" w:cs="宋体"/>
                <w:bCs/>
                <w:color w:val="auto"/>
                <w:kern w:val="2"/>
                <w:sz w:val="22"/>
                <w:szCs w:val="22"/>
                <w:highlight w:val="none"/>
              </w:rPr>
              <w:t>中标人（承包人）的项目经理（建造师）或班子成员需请假离开现场的，时间在半天以内的须经工程师书面同意；半天以上两天以内的须经工程师出具书面意见报招标人（发包人）现场负责人同意；时间超过两天以上的，需经招标人（发包人）现场负责人出具书面意见报招标人（发包人）审核同意。请假人离开前应书面指定临时代表，代为行使项目经理或班子成员的权力；该临时代表的一切行为，招标人（发包人）均认为是项目经理或该班子成员的行为。政府投资项目，中标人（承包人）的项目经理（建造师）未按前述程序规定取得书面同意离岗的，第一次离岗按中标价的0.1%支付违约金；第二次离岗按中标价的0.2%支付违约金；第三次及其以后每次均按中标价的0.5%元支付违约金（缺席、离岗次数以天为计），合计（缺席、离岗）次数超过10天的或者年度累计请假超过26天的，按违约处理，除由中标人（承包人）支付违约金、罚款外，招标人（发包人）按规定清除出场，招标人（发包人）将中标人（承包人）违约事实形成证据，由招标人或相关行业主管部门处理（项目班子其他成员有前述行为的，按前述标准的50%支付违约金）。</w:t>
            </w:r>
          </w:p>
        </w:tc>
      </w:tr>
      <w:tr w14:paraId="5F12C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0EC9E1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40</w:t>
            </w:r>
          </w:p>
        </w:tc>
        <w:tc>
          <w:tcPr>
            <w:tcW w:w="2091" w:type="dxa"/>
            <w:tcBorders>
              <w:top w:val="single" w:color="auto" w:sz="4" w:space="0"/>
              <w:left w:val="single" w:color="auto" w:sz="4" w:space="0"/>
              <w:bottom w:val="single" w:color="auto" w:sz="4" w:space="0"/>
              <w:right w:val="single" w:color="auto" w:sz="4" w:space="0"/>
            </w:tcBorders>
            <w:vAlign w:val="center"/>
          </w:tcPr>
          <w:p w14:paraId="607908C8">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材料要求</w:t>
            </w:r>
          </w:p>
        </w:tc>
        <w:tc>
          <w:tcPr>
            <w:tcW w:w="7118" w:type="dxa"/>
            <w:tcBorders>
              <w:top w:val="single" w:color="auto" w:sz="4" w:space="0"/>
              <w:left w:val="single" w:color="auto" w:sz="4" w:space="0"/>
              <w:bottom w:val="single" w:color="auto" w:sz="4" w:space="0"/>
              <w:right w:val="single" w:color="auto" w:sz="4" w:space="0"/>
            </w:tcBorders>
            <w:vAlign w:val="center"/>
          </w:tcPr>
          <w:p w14:paraId="1E52BE3E">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中标人自行采购的材料应满足设计和规范要求的质量等级，并须按有关技术规范要求对材料质量进行检验。中标人选定的材料供应厂家和价格须经招标人和监理单位认可。如招标人和监理单位对某种或某些材料的质量有异议，有权提出停止使用，中标人必须服从。若该材料经权威检验部门鉴定确有质量问题，由此发生的一切费用由中标人自行承担。</w:t>
            </w:r>
          </w:p>
          <w:p w14:paraId="67592557">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2.因中标人自行采购的材料质量引起的工程质量问题由中标人承担所造成的一切损失。</w:t>
            </w:r>
          </w:p>
          <w:p w14:paraId="61FA6C1F">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u w:val="single"/>
                <w:lang w:eastAsia="zh-CN"/>
              </w:rPr>
            </w:pPr>
            <w:r>
              <w:rPr>
                <w:rFonts w:hint="eastAsia" w:ascii="宋体" w:hAnsi="宋体" w:eastAsia="宋体" w:cs="宋体"/>
                <w:snapToGrid/>
                <w:color w:val="auto"/>
                <w:sz w:val="22"/>
                <w:szCs w:val="22"/>
                <w:highlight w:val="none"/>
                <w:lang w:eastAsia="zh-CN"/>
              </w:rPr>
              <w:t>3.如业主对工程质量有特殊需求的，对主要设备及材料应提供不少于三个的参考品牌，推荐品牌仅供参考，投标人可选择技术性能、参数不低于推荐品牌的其它产品投标。</w:t>
            </w:r>
          </w:p>
        </w:tc>
      </w:tr>
      <w:tr w14:paraId="1DD6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DB1B9D4">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41</w:t>
            </w:r>
          </w:p>
        </w:tc>
        <w:tc>
          <w:tcPr>
            <w:tcW w:w="2091" w:type="dxa"/>
            <w:tcBorders>
              <w:top w:val="single" w:color="auto" w:sz="4" w:space="0"/>
              <w:left w:val="single" w:color="auto" w:sz="4" w:space="0"/>
              <w:bottom w:val="single" w:color="auto" w:sz="4" w:space="0"/>
              <w:right w:val="single" w:color="auto" w:sz="4" w:space="0"/>
            </w:tcBorders>
            <w:vAlign w:val="center"/>
          </w:tcPr>
          <w:p w14:paraId="5632F1E6">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工期要求</w:t>
            </w:r>
          </w:p>
        </w:tc>
        <w:tc>
          <w:tcPr>
            <w:tcW w:w="7118" w:type="dxa"/>
            <w:tcBorders>
              <w:top w:val="single" w:color="auto" w:sz="4" w:space="0"/>
              <w:left w:val="single" w:color="auto" w:sz="4" w:space="0"/>
              <w:bottom w:val="single" w:color="auto" w:sz="4" w:space="0"/>
              <w:right w:val="single" w:color="auto" w:sz="4" w:space="0"/>
            </w:tcBorders>
            <w:vAlign w:val="center"/>
          </w:tcPr>
          <w:p w14:paraId="7B76F65E">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本项目工期，严格执行招标文件确定的期限。违背工期管理的，将按合同专用条款及专用条款的补充条款进行处理。</w:t>
            </w:r>
          </w:p>
        </w:tc>
      </w:tr>
      <w:tr w14:paraId="3CCBB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46B91856">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42</w:t>
            </w:r>
          </w:p>
        </w:tc>
        <w:tc>
          <w:tcPr>
            <w:tcW w:w="2091" w:type="dxa"/>
            <w:tcBorders>
              <w:top w:val="single" w:color="auto" w:sz="4" w:space="0"/>
              <w:left w:val="single" w:color="auto" w:sz="4" w:space="0"/>
              <w:bottom w:val="single" w:color="auto" w:sz="4" w:space="0"/>
              <w:right w:val="single" w:color="auto" w:sz="4" w:space="0"/>
            </w:tcBorders>
            <w:vAlign w:val="center"/>
          </w:tcPr>
          <w:p w14:paraId="45E77C33">
            <w:pPr>
              <w:widowControl w:val="0"/>
              <w:kinsoku/>
              <w:autoSpaceDE/>
              <w:autoSpaceDN/>
              <w:spacing w:line="360" w:lineRule="auto"/>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施工重点、难点（由招标人根据本项目的具体情况列明）</w:t>
            </w:r>
          </w:p>
        </w:tc>
        <w:tc>
          <w:tcPr>
            <w:tcW w:w="7118" w:type="dxa"/>
            <w:tcBorders>
              <w:top w:val="single" w:color="auto" w:sz="4" w:space="0"/>
              <w:left w:val="single" w:color="auto" w:sz="4" w:space="0"/>
              <w:bottom w:val="single" w:color="auto" w:sz="4" w:space="0"/>
              <w:right w:val="single" w:color="auto" w:sz="4" w:space="0"/>
            </w:tcBorders>
            <w:vAlign w:val="center"/>
          </w:tcPr>
          <w:p w14:paraId="5C948C03">
            <w:pPr>
              <w:widowControl w:val="0"/>
              <w:kinsoku/>
              <w:autoSpaceDE/>
              <w:autoSpaceDN/>
              <w:spacing w:line="360" w:lineRule="auto"/>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1、施工重点、难点（由招标人根据本项目的具体情况列明）①工程质量的技术组织措施②安全生产的技术组织措施③工程施工的重点和难点及保证措施。</w:t>
            </w:r>
          </w:p>
          <w:p w14:paraId="49CC46FA">
            <w:pPr>
              <w:widowControl w:val="0"/>
              <w:kinsoku/>
              <w:autoSpaceDE/>
              <w:autoSpaceDN/>
              <w:spacing w:line="360" w:lineRule="auto"/>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2、本招标项目危险性较大的分部分项工程清单：</w:t>
            </w:r>
            <w:r>
              <w:rPr>
                <w:rFonts w:hint="eastAsia" w:ascii="宋体" w:hAnsi="宋体" w:eastAsia="宋体" w:cs="宋体"/>
                <w:snapToGrid/>
                <w:color w:val="auto"/>
                <w:sz w:val="22"/>
                <w:szCs w:val="22"/>
                <w:highlight w:val="none"/>
                <w:u w:val="single"/>
                <w:lang w:val="en-US" w:eastAsia="zh-CN"/>
              </w:rPr>
              <w:t>/</w:t>
            </w:r>
            <w:r>
              <w:rPr>
                <w:rFonts w:hint="eastAsia" w:ascii="宋体" w:hAnsi="宋体" w:eastAsia="宋体" w:cs="宋体"/>
                <w:snapToGrid/>
                <w:color w:val="auto"/>
                <w:sz w:val="22"/>
                <w:szCs w:val="22"/>
                <w:highlight w:val="none"/>
                <w:u w:val="single"/>
                <w:lang w:eastAsia="zh-CN"/>
              </w:rPr>
              <w:t>。</w:t>
            </w:r>
          </w:p>
        </w:tc>
      </w:tr>
      <w:tr w14:paraId="0EEFF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right w:val="single" w:color="auto" w:sz="4" w:space="0"/>
            </w:tcBorders>
            <w:vAlign w:val="center"/>
          </w:tcPr>
          <w:p w14:paraId="6D3643E5">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43</w:t>
            </w:r>
          </w:p>
        </w:tc>
        <w:tc>
          <w:tcPr>
            <w:tcW w:w="2091" w:type="dxa"/>
            <w:tcBorders>
              <w:top w:val="single" w:color="auto" w:sz="4" w:space="0"/>
              <w:left w:val="single" w:color="auto" w:sz="4" w:space="0"/>
              <w:right w:val="single" w:color="auto" w:sz="4" w:space="0"/>
            </w:tcBorders>
            <w:vAlign w:val="center"/>
          </w:tcPr>
          <w:p w14:paraId="55D7998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18"/>
                <w:highlight w:val="none"/>
                <w:lang w:eastAsia="zh-CN"/>
              </w:rPr>
              <w:t>围、串标行为认定</w:t>
            </w:r>
          </w:p>
        </w:tc>
        <w:tc>
          <w:tcPr>
            <w:tcW w:w="7118" w:type="dxa"/>
            <w:tcBorders>
              <w:top w:val="single" w:color="auto" w:sz="4" w:space="0"/>
              <w:left w:val="single" w:color="auto" w:sz="4" w:space="0"/>
              <w:right w:val="single" w:color="auto" w:sz="4" w:space="0"/>
            </w:tcBorders>
            <w:vAlign w:val="center"/>
          </w:tcPr>
          <w:p w14:paraId="4B2AD60B">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本项目开评标过程中，有下列情形之一的，评标委员会应依法否决相应的投标，并将具体情况报告公共资源交易监督管理机关，依法进行处理。</w:t>
            </w:r>
          </w:p>
          <w:p w14:paraId="45624EB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（1）投标人之间协商投标报价等投标文件的实质性内容；</w:t>
            </w:r>
          </w:p>
          <w:p w14:paraId="6771CF50">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（2）投标人之间约定中标人；</w:t>
            </w:r>
          </w:p>
          <w:p w14:paraId="142B294D">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（3）投标人之间约定部分投标人放弃投标或者中标；</w:t>
            </w:r>
          </w:p>
          <w:p w14:paraId="56DC1E67">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（4）属于同一集团、协会、商会等组织成员的投标人按照该组织要求协同投标；</w:t>
            </w:r>
          </w:p>
          <w:p w14:paraId="55872E6F">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（5）投标人之间为谋取中标或者排斥特定投标人而采取的其他联合行动；</w:t>
            </w:r>
          </w:p>
          <w:p w14:paraId="3E0D2A1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（6）不同投标人的投标文件由同一单位或者个人编制；</w:t>
            </w:r>
          </w:p>
          <w:p w14:paraId="1A13D4E6">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（7）不同投标人委托同一单位或者个人办理投标事宜；</w:t>
            </w:r>
          </w:p>
          <w:p w14:paraId="05DB45A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（8）不同投标人的投标文件载明的项目管理成员为同一人；</w:t>
            </w:r>
          </w:p>
          <w:p w14:paraId="480C3086">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（9）不同投标人的投标文件异常一致或者投标报价呈规律性差异；</w:t>
            </w:r>
          </w:p>
          <w:p w14:paraId="16AE4D23">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（10）不同投标人的投标文件相互混装；</w:t>
            </w:r>
          </w:p>
          <w:p w14:paraId="37D203FE">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（11）不同投标人的投标保证金从同一单位或者个人的账户转出。</w:t>
            </w:r>
          </w:p>
        </w:tc>
      </w:tr>
      <w:tr w14:paraId="5F785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right w:val="single" w:color="auto" w:sz="4" w:space="0"/>
            </w:tcBorders>
            <w:vAlign w:val="center"/>
          </w:tcPr>
          <w:p w14:paraId="27E34D28">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44</w:t>
            </w:r>
          </w:p>
        </w:tc>
        <w:tc>
          <w:tcPr>
            <w:tcW w:w="2091" w:type="dxa"/>
            <w:tcBorders>
              <w:top w:val="single" w:color="auto" w:sz="4" w:space="0"/>
              <w:left w:val="single" w:color="auto" w:sz="4" w:space="0"/>
              <w:right w:val="single" w:color="auto" w:sz="4" w:space="0"/>
            </w:tcBorders>
            <w:vAlign w:val="center"/>
          </w:tcPr>
          <w:p w14:paraId="5613CEAC">
            <w:pPr>
              <w:kinsoku/>
              <w:autoSpaceDE/>
              <w:autoSpaceDN/>
              <w:adjustRightInd/>
              <w:snapToGrid/>
              <w:jc w:val="center"/>
              <w:textAlignment w:val="auto"/>
              <w:rPr>
                <w:rFonts w:hint="eastAsia" w:ascii="宋体" w:hAnsi="宋体" w:eastAsia="宋体" w:cs="宋体"/>
                <w:snapToGrid/>
                <w:color w:val="auto"/>
                <w:kern w:val="2"/>
                <w:sz w:val="22"/>
                <w:szCs w:val="28"/>
                <w:highlight w:val="none"/>
                <w:lang w:eastAsia="zh-CN"/>
              </w:rPr>
            </w:pPr>
            <w:r>
              <w:rPr>
                <w:rFonts w:hint="eastAsia" w:ascii="宋体" w:hAnsi="宋体" w:eastAsia="宋体" w:cs="宋体"/>
                <w:snapToGrid/>
                <w:color w:val="auto"/>
                <w:sz w:val="22"/>
                <w:szCs w:val="22"/>
                <w:highlight w:val="none"/>
                <w:lang w:eastAsia="zh-CN" w:bidi="ar"/>
              </w:rPr>
              <w:t>相关政策要求</w:t>
            </w:r>
          </w:p>
        </w:tc>
        <w:tc>
          <w:tcPr>
            <w:tcW w:w="7118" w:type="dxa"/>
            <w:tcBorders>
              <w:top w:val="single" w:color="auto" w:sz="4" w:space="0"/>
              <w:left w:val="single" w:color="auto" w:sz="4" w:space="0"/>
              <w:right w:val="single" w:color="auto" w:sz="4" w:space="0"/>
            </w:tcBorders>
            <w:vAlign w:val="center"/>
          </w:tcPr>
          <w:p w14:paraId="50EC7FD7">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承包人在工程实施过程中的用工行为，必须严格按照《保障农民工工资支付条例》（国务院令第724号）、《安徽省人民政府办公厅关于全面治理拖欠农民工工资问题的实施意见》（皖政办〔2016〕22号）等文件精神的有关规定，依法与招用的农民工签订劳动合同，并按规定及时足额支付工资。</w:t>
            </w:r>
          </w:p>
          <w:p w14:paraId="1BF12F67">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（2）省外建设工程企业按照安徽省住建厅《关于优化进皖建设工程企业信息登记服务和管理有关工作的通知》（建市规〔2025〕4号）进行相关信息登记。</w:t>
            </w:r>
          </w:p>
          <w:p w14:paraId="0EB44329">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（3）关于投标保证金、履约保证金、工程质量保证金、农民工工资保证金执行《关于加快推进房屋建筑和市政基础设施工程实行工程担保制度的通知》（建市[2020]84号文件）。</w:t>
            </w:r>
          </w:p>
          <w:p w14:paraId="34812CF9">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（4）保证保险产品应按《中国银保监会办公厅关于进一步加强和改进财产保险公司产品监管有关问题的通知》执行。</w:t>
            </w:r>
          </w:p>
          <w:p w14:paraId="5AA72552">
            <w:pPr>
              <w:pStyle w:val="2"/>
              <w:spacing w:after="0" w:line="360" w:lineRule="auto"/>
              <w:ind w:left="0" w:leftChars="0" w:right="63" w:firstLine="440" w:firstLineChars="200"/>
              <w:jc w:val="left"/>
              <w:rPr>
                <w:color w:val="auto"/>
                <w:sz w:val="22"/>
                <w:szCs w:val="18"/>
                <w:highlight w:val="none"/>
              </w:rPr>
            </w:pPr>
            <w:r>
              <w:rPr>
                <w:rFonts w:hint="eastAsia" w:ascii="宋体" w:hAnsi="宋体" w:cs="宋体"/>
                <w:color w:val="auto"/>
                <w:sz w:val="22"/>
                <w:szCs w:val="22"/>
                <w:highlight w:val="none"/>
              </w:rPr>
              <w:t>（5）农民工工资保证金支持现金、保函等保证方式。农民工工资保证金、</w:t>
            </w:r>
            <w:r>
              <w:rPr>
                <w:rFonts w:hint="eastAsia" w:ascii="宋体" w:hAnsi="宋体" w:cs="宋体"/>
                <w:color w:val="auto"/>
                <w:kern w:val="2"/>
                <w:sz w:val="22"/>
                <w:szCs w:val="22"/>
                <w:highlight w:val="none"/>
              </w:rPr>
              <w:t>农民工工资专用账户管</w:t>
            </w:r>
            <w:r>
              <w:rPr>
                <w:rFonts w:hint="eastAsia" w:ascii="宋体" w:hAnsi="宋体" w:cs="宋体"/>
                <w:color w:val="auto"/>
                <w:sz w:val="22"/>
                <w:szCs w:val="22"/>
                <w:highlight w:val="none"/>
              </w:rPr>
              <w:t>理、农民工工资支付等严格执行《关于印发&lt;安徽省工程建设领域农民工工资保证金实施办法&gt;的通知（皖人社发[2022]8号）》、安徽省人社厅等部门印发的《贯彻落实〈工程建设领域农民工工资专用账户管理暂行办法〉的通知》（皖人社发〔2022〕5号）、安徽省住建厅《关于建立长效机制切实保障建筑行业农民工工资支付工作的通知》（建市函〔2022〕490号），安徽省住建厅《关于加快培育和壮大我省建筑产业工人队伍的意见》（建市规〔2023〕1号）、《关于印发〈安徽省房屋建筑和市政基础设施工程施工过程结算管理办法〉的通知》（建市规〔2023〕2号）以及《关于修改完善&lt;六安市工程建设领域农民工工资保证金管理实施办法&gt;的通知》（六人社秘2020〕11号）。</w:t>
            </w:r>
          </w:p>
          <w:p w14:paraId="594FA4F6">
            <w:pPr>
              <w:kinsoku/>
              <w:autoSpaceDE/>
              <w:autoSpaceDN/>
              <w:adjustRightInd/>
              <w:snapToGrid/>
              <w:spacing w:line="360" w:lineRule="auto"/>
              <w:ind w:firstLine="440" w:firstLineChars="200"/>
              <w:textAlignment w:val="auto"/>
              <w:rPr>
                <w:rFonts w:ascii="仿宋_GB2312" w:hAnsi="Times New Roman" w:eastAsia="仿宋_GB2312" w:cs="Times New Roman"/>
                <w:snapToGrid/>
                <w:color w:val="auto"/>
                <w:kern w:val="2"/>
                <w:sz w:val="28"/>
                <w:szCs w:val="28"/>
                <w:highlight w:val="none"/>
                <w:lang w:eastAsia="zh-CN"/>
              </w:rPr>
            </w:pPr>
            <w:r>
              <w:rPr>
                <w:rFonts w:hint="eastAsia" w:ascii="宋体" w:hAnsi="宋体" w:eastAsia="宋体" w:cs="宋体"/>
                <w:snapToGrid/>
                <w:color w:val="auto"/>
                <w:sz w:val="22"/>
                <w:szCs w:val="22"/>
                <w:highlight w:val="none"/>
                <w:lang w:eastAsia="zh-CN" w:bidi="ar"/>
              </w:rPr>
              <w:t>备注：如有相关政策文件更新，按照最新政策文件执行。</w:t>
            </w:r>
          </w:p>
        </w:tc>
      </w:tr>
      <w:tr w14:paraId="71131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2720487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45</w:t>
            </w:r>
          </w:p>
        </w:tc>
        <w:tc>
          <w:tcPr>
            <w:tcW w:w="2091" w:type="dxa"/>
            <w:tcBorders>
              <w:top w:val="single" w:color="auto" w:sz="4" w:space="0"/>
              <w:left w:val="single" w:color="auto" w:sz="4" w:space="0"/>
              <w:bottom w:val="single" w:color="auto" w:sz="4" w:space="0"/>
              <w:right w:val="single" w:color="auto" w:sz="4" w:space="0"/>
            </w:tcBorders>
            <w:vAlign w:val="center"/>
          </w:tcPr>
          <w:p w14:paraId="1C8836F3">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其他要求</w:t>
            </w:r>
          </w:p>
        </w:tc>
        <w:tc>
          <w:tcPr>
            <w:tcW w:w="7118" w:type="dxa"/>
            <w:tcBorders>
              <w:top w:val="single" w:color="auto" w:sz="4" w:space="0"/>
              <w:left w:val="single" w:color="auto" w:sz="4" w:space="0"/>
              <w:bottom w:val="single" w:color="auto" w:sz="4" w:space="0"/>
              <w:right w:val="single" w:color="auto" w:sz="4" w:space="0"/>
            </w:tcBorders>
            <w:vAlign w:val="center"/>
          </w:tcPr>
          <w:p w14:paraId="30B0D395">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1、中标人确定后，招标人应当向中标人发出中标通知书，同时将中标结果通知所有未中标的投标人。</w:t>
            </w:r>
          </w:p>
          <w:p w14:paraId="0AB1C3A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2、中标（成交）通知书发出的形式：</w:t>
            </w:r>
            <w:r>
              <w:rPr>
                <w:rFonts w:hint="eastAsia" w:ascii="宋体" w:hAnsi="宋体" w:eastAsia="宋体" w:cs="宋体"/>
                <w:snapToGrid/>
                <w:color w:val="auto"/>
                <w:sz w:val="22"/>
                <w:szCs w:val="22"/>
                <w:highlight w:val="none"/>
                <w:lang w:eastAsia="zh-CN"/>
              </w:rPr>
              <w:sym w:font="Wingdings 2" w:char="00A3"/>
            </w:r>
            <w:r>
              <w:rPr>
                <w:rFonts w:hint="eastAsia" w:ascii="宋体" w:hAnsi="宋体" w:eastAsia="宋体" w:cs="宋体"/>
                <w:snapToGrid/>
                <w:color w:val="auto"/>
                <w:sz w:val="22"/>
                <w:szCs w:val="22"/>
                <w:highlight w:val="none"/>
                <w:lang w:eastAsia="zh-CN"/>
              </w:rPr>
              <w:t>纸质</w:t>
            </w:r>
            <w:r>
              <w:rPr>
                <w:rFonts w:hint="eastAsia" w:ascii="宋体" w:hAnsi="宋体" w:eastAsia="宋体" w:cs="宋体"/>
                <w:snapToGrid/>
                <w:color w:val="auto"/>
                <w:sz w:val="22"/>
                <w:szCs w:val="22"/>
                <w:highlight w:val="none"/>
                <w:lang w:eastAsia="zh-CN"/>
              </w:rPr>
              <w:sym w:font="Wingdings 2" w:char="0052"/>
            </w:r>
            <w:r>
              <w:rPr>
                <w:rFonts w:hint="eastAsia" w:ascii="宋体" w:hAnsi="宋体" w:eastAsia="宋体" w:cs="宋体"/>
                <w:snapToGrid/>
                <w:color w:val="auto"/>
                <w:sz w:val="22"/>
                <w:szCs w:val="22"/>
                <w:highlight w:val="none"/>
                <w:lang w:eastAsia="zh-CN"/>
              </w:rPr>
              <w:t>数据电文</w:t>
            </w:r>
          </w:p>
          <w:p w14:paraId="60ABFDA3">
            <w:pPr>
              <w:widowControl w:val="0"/>
              <w:kinsoku/>
              <w:autoSpaceDE/>
              <w:autoSpaceDN/>
              <w:adjustRightInd/>
              <w:snapToGrid/>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Times New Roman" w:eastAsia="宋体" w:cs="宋体"/>
                <w:snapToGrid/>
                <w:color w:val="auto"/>
                <w:sz w:val="22"/>
                <w:szCs w:val="22"/>
                <w:highlight w:val="none"/>
                <w:lang w:eastAsia="zh-CN"/>
              </w:rPr>
              <w:t>特别提醒：招标人确定中标人后，通过电子交易系统向中标人发出中标（成交）通知书，中标（成交）通知书发出即视为送达。投标人应主动登录电子交易系统查询，招标人和招标代理机构不承担投标人未及时关注相关信息引发的相关责任。</w:t>
            </w:r>
          </w:p>
          <w:p w14:paraId="412E4ED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3、中标人承建项目时，需在项目所在地设立项目部</w:t>
            </w:r>
            <w:r>
              <w:rPr>
                <w:rFonts w:hint="eastAsia" w:ascii="宋体" w:hAnsi="Times New Roman" w:eastAsia="宋体" w:cs="宋体"/>
                <w:snapToGrid/>
                <w:color w:val="auto"/>
                <w:sz w:val="22"/>
                <w:szCs w:val="22"/>
                <w:highlight w:val="none"/>
                <w:lang w:eastAsia="zh-CN"/>
              </w:rPr>
              <w:t>。</w:t>
            </w:r>
          </w:p>
          <w:p w14:paraId="2893C59B">
            <w:pPr>
              <w:widowControl w:val="0"/>
              <w:kinsoku/>
              <w:autoSpaceDE/>
              <w:autoSpaceDN/>
              <w:spacing w:line="360" w:lineRule="auto"/>
              <w:ind w:firstLine="440" w:firstLineChars="200"/>
              <w:textAlignment w:val="auto"/>
              <w:rPr>
                <w:rFonts w:hint="eastAsia" w:ascii="宋体" w:hAnsi="宋体" w:eastAsia="宋体" w:cs="宋体"/>
                <w:snapToGrid/>
                <w:color w:val="auto"/>
                <w:sz w:val="20"/>
                <w:szCs w:val="18"/>
                <w:highlight w:val="none"/>
                <w:lang w:eastAsia="zh-CN"/>
              </w:rPr>
            </w:pPr>
            <w:r>
              <w:rPr>
                <w:rFonts w:hint="eastAsia" w:ascii="宋体" w:hAnsi="宋体" w:eastAsia="宋体" w:cs="宋体"/>
                <w:snapToGrid/>
                <w:color w:val="auto"/>
                <w:sz w:val="22"/>
                <w:szCs w:val="22"/>
                <w:highlight w:val="none"/>
                <w:lang w:eastAsia="zh-CN"/>
              </w:rPr>
              <w:t>4、若发现投标人属于出借资质或挂靠的（包括在评标中和评标后发现），招标人将投标人违约事实形成证据，提出给予投标人及该项目班子成员1年至3年的在投标资格限制的处理意见，报送公共资源交易监督管理部门会同有关部门依照法律法规的规定进行审查，落实具体的投标资格限制期限。若发现中标人属于出借资质或挂靠的（包括在评标中、公示期间、签订合同前以及施工过程中发现），招标人将中标人（承包人）违约事实形成证据，报有关部门备案后取消其中标资格或终止合同，提出给予中标人（承包人）及该项目班子成员1年至3年的在投标资格限制的处理意见，报送公共资源交易监督管理部门会同有关部门依照法律法规的规定进行审查，落实具体的投标资格限制期限，其履约保证金不予退还。情节严重的将提请执法机关查处，直至追究刑事责任，并依法并向社会公开曝光。</w:t>
            </w:r>
          </w:p>
          <w:p w14:paraId="48109EEE">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招标人可组织对中标人及其项目班子成员进行约谈,其中属于政府重大投资项目的，中标人的董事长（总经理）或分管业务负责人及项目经理、技术负责人等班子成员必须参加合同签订前招标人组织的约谈。拒不参加的，招标人将视为中标人自动放弃合同签订资格。</w:t>
            </w:r>
          </w:p>
          <w:p w14:paraId="40ADDF36">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6、招标文件中约定投标保证金不予退还的，均由招标人依据招标文件的约定作出不予退还决定。</w:t>
            </w:r>
          </w:p>
          <w:p w14:paraId="6958F0C8">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7、在我省开展工程款支付担保业务的保证人应向有关主管部门提供担保凭证网络验证途径。</w:t>
            </w:r>
          </w:p>
          <w:p w14:paraId="141A2484">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8、关于对中标人有关办理施工许可证的要求。为尽快办理施工许可证，中标人必须在领取中标通知书之日起一个月内提供办理工程质量报监、安全报监、施工许可证等手续中需由中标人提供的一切材料，同时缴纳需由中标人缴纳的一切费用。每逾期一天，由中标人按工程中标价的0.5‰支付违约金。</w:t>
            </w:r>
          </w:p>
          <w:p w14:paraId="49F79918">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9、市政府本级投资建设项目执行《六安市政府投资建设工程履约保证金管理办法》。非市政府本级投资建设项目，履约保证金的收退可参照《六安市政府投资建设工程履约保证金管理办法》执行。</w:t>
            </w:r>
          </w:p>
          <w:p w14:paraId="3AB90FF3">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10、安徽省建筑工程施工扬尘污染相关文件要求落实扬尘防治“六个百分百”，市城区在建项目施工工地设置喷淋设施降尘要求如下：</w:t>
            </w:r>
          </w:p>
          <w:p w14:paraId="68A5BC2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建筑工地周边100%围挡、物料堆放覆盖100%，出入车辆100%冲洗、施工现场地面100%硬化、渣土车辆100%密闭运输、建筑工地100%安装使用喷淋设施“六个百分百”要求。扬尘覆盖网重量须≥50g/㎡。</w:t>
            </w:r>
          </w:p>
          <w:p w14:paraId="392F62E8">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11、其他要求：</w:t>
            </w:r>
          </w:p>
          <w:p w14:paraId="69F2301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①招标人实施的监控及考勤设备，中标人应无条件配合其安装及移位，并提供电源至招标人指定的位置，且相关设备由中标人负责保护，全部有关费用体现在报价（百分比）中，后续不再单独列支。若因中标人原因造成相关设备的损坏、丢失等，产生的一切后果（包括因考勤记录不完整导致中标人相关人员被认定为不在岗等）由中标人承担，且中标人须进行赔偿。</w:t>
            </w:r>
          </w:p>
          <w:p w14:paraId="0B2C3CC6">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②中标人必须按照招标人有关要求悬挂、张贴、更换施工围挡等处的公益广告、标语以及其它宣传内容，所产生的一切费用包含在投标报价（百分比）中，后续不再单独列支。</w:t>
            </w:r>
          </w:p>
          <w:p w14:paraId="3B243DEA">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③投标人在中标后必须严格执行招标人关于现场施工的有关规定。</w:t>
            </w:r>
          </w:p>
          <w:p w14:paraId="7868068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④投标人在编制工程进度计划时，必须考虑夜间加班计划，并做好相应的安全保障措施。</w:t>
            </w:r>
          </w:p>
          <w:p w14:paraId="49CE9486">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⑤中标后施工项目部须配备专车用于材料送检等。</w:t>
            </w:r>
          </w:p>
          <w:p w14:paraId="1524B6B8">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⑥投标人在中标后必须严格做好施工围挡及公益广告设置工作，围挡外侧必须包含公益宣传图语，涉及一切费用体现在报价（百分比）中，后续不再单独列支。</w:t>
            </w:r>
          </w:p>
          <w:p w14:paraId="3C8262BF">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⑦投标人须按照环保部门及招标人要求在现场设置PM2.5、PM10监测设备并确保正常运转，有关费用体现在报价（百分比）中，后续不再单独列支</w:t>
            </w:r>
          </w:p>
        </w:tc>
      </w:tr>
      <w:tr w14:paraId="63F7B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03AD2B8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46</w:t>
            </w:r>
          </w:p>
        </w:tc>
        <w:tc>
          <w:tcPr>
            <w:tcW w:w="2091" w:type="dxa"/>
            <w:tcBorders>
              <w:top w:val="single" w:color="auto" w:sz="4" w:space="0"/>
              <w:left w:val="single" w:color="auto" w:sz="4" w:space="0"/>
              <w:bottom w:val="single" w:color="auto" w:sz="4" w:space="0"/>
              <w:right w:val="single" w:color="auto" w:sz="4" w:space="0"/>
            </w:tcBorders>
            <w:vAlign w:val="center"/>
          </w:tcPr>
          <w:p w14:paraId="256CACF2">
            <w:pPr>
              <w:widowControl w:val="0"/>
              <w:kinsoku/>
              <w:autoSpaceDE/>
              <w:autoSpaceDN/>
              <w:spacing w:line="360" w:lineRule="auto"/>
              <w:jc w:val="center"/>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电子投标文件要求</w:t>
            </w:r>
          </w:p>
        </w:tc>
        <w:tc>
          <w:tcPr>
            <w:tcW w:w="7118" w:type="dxa"/>
            <w:tcBorders>
              <w:top w:val="single" w:color="auto" w:sz="4" w:space="0"/>
              <w:left w:val="single" w:color="auto" w:sz="4" w:space="0"/>
              <w:bottom w:val="single" w:color="auto" w:sz="4" w:space="0"/>
              <w:right w:val="single" w:color="auto" w:sz="4" w:space="0"/>
            </w:tcBorders>
            <w:vAlign w:val="center"/>
          </w:tcPr>
          <w:p w14:paraId="553388E5">
            <w:pPr>
              <w:widowControl w:val="0"/>
              <w:kinsoku/>
              <w:autoSpaceDE/>
              <w:autoSpaceDN/>
              <w:adjustRightInd/>
              <w:snapToGrid/>
              <w:spacing w:line="360" w:lineRule="auto"/>
              <w:ind w:firstLine="440" w:firstLineChars="200"/>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各投标人应使用六安市公共资源交易中心提供的电子标书制作工具软件（http://ggzy.luan.gov.cn下载中心栏目自行下载）制作生成加密版电子投标文件。</w:t>
            </w:r>
          </w:p>
          <w:p w14:paraId="35178FE2">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0"/>
                <w:highlight w:val="none"/>
                <w:lang w:eastAsia="zh-CN"/>
              </w:rPr>
            </w:pPr>
            <w:r>
              <w:rPr>
                <w:rFonts w:hint="eastAsia" w:ascii="宋体" w:hAnsi="宋体" w:eastAsia="宋体" w:cs="宋体"/>
                <w:bCs/>
                <w:snapToGrid/>
                <w:color w:val="auto"/>
                <w:sz w:val="22"/>
                <w:szCs w:val="22"/>
                <w:highlight w:val="none"/>
                <w:lang w:eastAsia="zh-CN"/>
              </w:rPr>
              <w:t>特别提示：投标人需采用最新版投标文件制作工具，具体请在六安市公共资源交易平台电子服务系统下载中心栏目下载，软件启动时也将进行提示（需在互联网络通畅状态），各投标人需注意及时更新，以免造成投标文件制作错误，因此导致无效标，责任自负。</w:t>
            </w:r>
          </w:p>
        </w:tc>
      </w:tr>
      <w:tr w14:paraId="057CB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04E86C0">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47</w:t>
            </w:r>
          </w:p>
        </w:tc>
        <w:tc>
          <w:tcPr>
            <w:tcW w:w="2091" w:type="dxa"/>
            <w:tcBorders>
              <w:top w:val="single" w:color="auto" w:sz="4" w:space="0"/>
              <w:left w:val="single" w:color="auto" w:sz="4" w:space="0"/>
              <w:bottom w:val="single" w:color="auto" w:sz="4" w:space="0"/>
              <w:right w:val="single" w:color="auto" w:sz="4" w:space="0"/>
            </w:tcBorders>
            <w:vAlign w:val="center"/>
          </w:tcPr>
          <w:p w14:paraId="4F94323D">
            <w:pPr>
              <w:widowControl w:val="0"/>
              <w:kinsoku/>
              <w:autoSpaceDE/>
              <w:autoSpaceDN/>
              <w:spacing w:line="360" w:lineRule="auto"/>
              <w:jc w:val="center"/>
              <w:textAlignment w:val="auto"/>
              <w:rPr>
                <w:rFonts w:hint="eastAsia" w:ascii="宋体" w:hAnsi="宋体" w:eastAsia="宋体" w:cs="宋体"/>
                <w:bCs/>
                <w:snapToGrid/>
                <w:color w:val="auto"/>
                <w:sz w:val="22"/>
                <w:szCs w:val="22"/>
                <w:highlight w:val="none"/>
                <w:lang w:eastAsia="zh-CN"/>
              </w:rPr>
            </w:pPr>
            <w:r>
              <w:rPr>
                <w:rFonts w:hint="eastAsia" w:ascii="宋体" w:hAnsi="宋体" w:eastAsia="宋体" w:cs="宋体"/>
                <w:bCs/>
                <w:snapToGrid/>
                <w:color w:val="auto"/>
                <w:sz w:val="22"/>
                <w:szCs w:val="22"/>
                <w:highlight w:val="none"/>
                <w:lang w:eastAsia="zh-CN"/>
              </w:rPr>
              <w:t>联合体要求</w:t>
            </w:r>
          </w:p>
        </w:tc>
        <w:tc>
          <w:tcPr>
            <w:tcW w:w="7118" w:type="dxa"/>
            <w:tcBorders>
              <w:top w:val="single" w:color="auto" w:sz="4" w:space="0"/>
              <w:left w:val="single" w:color="auto" w:sz="4" w:space="0"/>
              <w:bottom w:val="single" w:color="auto" w:sz="4" w:space="0"/>
              <w:right w:val="single" w:color="auto" w:sz="4" w:space="0"/>
            </w:tcBorders>
            <w:vAlign w:val="center"/>
          </w:tcPr>
          <w:p w14:paraId="03583ABC">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1.联合体投标的，开标时以签署的联合体投标协议为准，联合体协议需明确牵头单位。联合具体需明确的事项见附件。项目经理、技术负责人的委派由组成联合体的企业自行商定。</w:t>
            </w:r>
          </w:p>
          <w:p w14:paraId="6AD1F957">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2.联合体投标，是否符合本项目投标资格资质标准，同资质类别组成的联合体以较低一方的资质等级是否符合作为判断标准。</w:t>
            </w:r>
          </w:p>
          <w:p w14:paraId="14575D8B">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3.独立投标的不得再与其他企业组成联合体投标，组成联合体投标的企业不能分别与不同的企业分别签署协议组成不同的联合体投标即只能组成一次。</w:t>
            </w:r>
          </w:p>
          <w:p w14:paraId="76AC565D">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4.联合体的企业类似业绩可以共享，但项目经理、技术负责人的类似业绩不予共享。</w:t>
            </w:r>
          </w:p>
          <w:p w14:paraId="4C7A28D1">
            <w:pPr>
              <w:widowControl w:val="0"/>
              <w:kinsoku/>
              <w:autoSpaceDE/>
              <w:autoSpaceDN/>
              <w:spacing w:line="360" w:lineRule="auto"/>
              <w:ind w:firstLine="440" w:firstLineChars="200"/>
              <w:textAlignment w:val="auto"/>
              <w:rPr>
                <w:rFonts w:hint="eastAsia" w:ascii="宋体" w:hAnsi="宋体" w:eastAsia="宋体" w:cs="宋体"/>
                <w:b/>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5.联合体投标的双方资质资格证书、协议等原件的扫描件需编入投标文件中。</w:t>
            </w:r>
          </w:p>
        </w:tc>
      </w:tr>
      <w:tr w14:paraId="1299C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D84A6CE">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48</w:t>
            </w:r>
          </w:p>
        </w:tc>
        <w:tc>
          <w:tcPr>
            <w:tcW w:w="2091" w:type="dxa"/>
            <w:tcBorders>
              <w:top w:val="single" w:color="auto" w:sz="4" w:space="0"/>
              <w:left w:val="single" w:color="auto" w:sz="4" w:space="0"/>
              <w:bottom w:val="single" w:color="auto" w:sz="4" w:space="0"/>
              <w:right w:val="single" w:color="auto" w:sz="4" w:space="0"/>
            </w:tcBorders>
            <w:vAlign w:val="center"/>
          </w:tcPr>
          <w:p w14:paraId="04FFFF56">
            <w:pPr>
              <w:widowControl w:val="0"/>
              <w:kinsoku/>
              <w:autoSpaceDE/>
              <w:autoSpaceDN/>
              <w:spacing w:line="360" w:lineRule="auto"/>
              <w:jc w:val="center"/>
              <w:textAlignment w:val="auto"/>
              <w:rPr>
                <w:rFonts w:hint="eastAsia" w:ascii="宋体" w:hAnsi="宋体" w:eastAsia="宋体" w:cs="宋体"/>
                <w:b/>
                <w:snapToGrid/>
                <w:color w:val="auto"/>
                <w:kern w:val="2"/>
                <w:sz w:val="22"/>
                <w:szCs w:val="22"/>
                <w:highlight w:val="none"/>
                <w:lang w:eastAsia="zh-CN"/>
              </w:rPr>
            </w:pPr>
            <w:r>
              <w:rPr>
                <w:rFonts w:hint="eastAsia" w:ascii="宋体" w:hAnsi="宋体" w:eastAsia="宋体" w:cs="宋体"/>
                <w:bCs/>
                <w:snapToGrid/>
                <w:color w:val="auto"/>
                <w:sz w:val="22"/>
                <w:szCs w:val="22"/>
                <w:highlight w:val="none"/>
                <w:lang w:eastAsia="zh-CN"/>
              </w:rPr>
              <w:t>招标人补充的其他内容</w:t>
            </w:r>
          </w:p>
        </w:tc>
        <w:tc>
          <w:tcPr>
            <w:tcW w:w="7118" w:type="dxa"/>
            <w:tcBorders>
              <w:top w:val="single" w:color="auto" w:sz="4" w:space="0"/>
              <w:left w:val="single" w:color="auto" w:sz="4" w:space="0"/>
              <w:bottom w:val="single" w:color="auto" w:sz="4" w:space="0"/>
              <w:right w:val="single" w:color="auto" w:sz="4" w:space="0"/>
            </w:tcBorders>
            <w:vAlign w:val="center"/>
          </w:tcPr>
          <w:p w14:paraId="6BF33931">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招标人可以对承建获得优质工程奖的建筑业企业，给予适当奖励。</w:t>
            </w:r>
          </w:p>
          <w:p w14:paraId="6CE5FA6B">
            <w:pPr>
              <w:widowControl w:val="0"/>
              <w:kinsoku/>
              <w:autoSpaceDE/>
              <w:autoSpaceDN/>
              <w:spacing w:line="360" w:lineRule="auto"/>
              <w:ind w:firstLine="440" w:firstLineChars="200"/>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sym w:font="Wingdings 2" w:char="0052"/>
            </w:r>
            <w:r>
              <w:rPr>
                <w:rFonts w:hint="eastAsia" w:ascii="宋体" w:hAnsi="宋体" w:eastAsia="宋体" w:cs="宋体"/>
                <w:snapToGrid/>
                <w:color w:val="auto"/>
                <w:sz w:val="22"/>
                <w:szCs w:val="22"/>
                <w:highlight w:val="none"/>
                <w:lang w:eastAsia="zh-CN"/>
              </w:rPr>
              <w:t>否；</w:t>
            </w:r>
          </w:p>
          <w:p w14:paraId="4DC4D12F">
            <w:pPr>
              <w:widowControl w:val="0"/>
              <w:kinsoku/>
              <w:autoSpaceDE/>
              <w:autoSpaceDN/>
              <w:spacing w:line="360" w:lineRule="auto"/>
              <w:ind w:firstLine="440" w:firstLineChars="200"/>
              <w:textAlignment w:val="auto"/>
              <w:rPr>
                <w:rFonts w:hint="eastAsia" w:ascii="宋体" w:hAnsi="宋体" w:eastAsia="仿宋_GB2312"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sym w:font="Wingdings 2" w:char="00A3"/>
            </w:r>
            <w:r>
              <w:rPr>
                <w:rFonts w:hint="eastAsia" w:ascii="宋体" w:hAnsi="宋体" w:eastAsia="宋体" w:cs="宋体"/>
                <w:snapToGrid/>
                <w:color w:val="auto"/>
                <w:sz w:val="22"/>
                <w:szCs w:val="22"/>
                <w:highlight w:val="none"/>
                <w:lang w:eastAsia="zh-CN"/>
              </w:rPr>
              <w:t>是，奖励方式及标准按照省住建厅等十七部门联合印发的《关于持续推进建筑业发展的十二条意见》（建市〔2021〕23号）执行。</w:t>
            </w:r>
          </w:p>
        </w:tc>
      </w:tr>
      <w:tr w14:paraId="594D1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3102DC19">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49</w:t>
            </w:r>
          </w:p>
        </w:tc>
        <w:tc>
          <w:tcPr>
            <w:tcW w:w="2091" w:type="dxa"/>
            <w:tcBorders>
              <w:top w:val="single" w:color="auto" w:sz="4" w:space="0"/>
              <w:left w:val="single" w:color="auto" w:sz="4" w:space="0"/>
              <w:bottom w:val="single" w:color="auto" w:sz="4" w:space="0"/>
              <w:right w:val="single" w:color="auto" w:sz="4" w:space="0"/>
            </w:tcBorders>
            <w:vAlign w:val="center"/>
          </w:tcPr>
          <w:p w14:paraId="55C26A19">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室外配套等附属工程</w:t>
            </w:r>
          </w:p>
        </w:tc>
        <w:tc>
          <w:tcPr>
            <w:tcW w:w="7118" w:type="dxa"/>
            <w:tcBorders>
              <w:top w:val="single" w:color="auto" w:sz="4" w:space="0"/>
              <w:left w:val="single" w:color="auto" w:sz="4" w:space="0"/>
              <w:bottom w:val="single" w:color="auto" w:sz="4" w:space="0"/>
              <w:right w:val="single" w:color="auto" w:sz="4" w:space="0"/>
            </w:tcBorders>
            <w:vAlign w:val="center"/>
          </w:tcPr>
          <w:p w14:paraId="1E6D11B5">
            <w:pPr>
              <w:widowControl w:val="0"/>
              <w:kinsoku/>
              <w:autoSpaceDE/>
              <w:autoSpaceDN/>
              <w:spacing w:line="300" w:lineRule="exact"/>
              <w:ind w:firstLine="440" w:firstLineChars="200"/>
              <w:textAlignment w:val="auto"/>
              <w:rPr>
                <w:rFonts w:hint="eastAsia" w:ascii="宋体" w:hAnsi="宋体" w:eastAsia="宋体" w:cs="宋体"/>
                <w:snapToGrid/>
                <w:color w:val="auto"/>
                <w:sz w:val="22"/>
                <w:szCs w:val="20"/>
                <w:highlight w:val="none"/>
                <w:lang w:eastAsia="zh-CN"/>
              </w:rPr>
            </w:pPr>
            <w:r>
              <w:rPr>
                <w:rFonts w:hint="eastAsia" w:ascii="宋体" w:hAnsi="宋体" w:eastAsia="宋体" w:cs="宋体"/>
                <w:snapToGrid/>
                <w:color w:val="auto"/>
                <w:sz w:val="22"/>
                <w:szCs w:val="20"/>
                <w:highlight w:val="none"/>
                <w:lang w:eastAsia="zh-CN"/>
              </w:rPr>
              <w:t>/</w:t>
            </w:r>
          </w:p>
        </w:tc>
      </w:tr>
      <w:tr w14:paraId="5EF19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C9E0B9E">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bookmarkStart w:id="12" w:name="_Toc306204882"/>
            <w:bookmarkStart w:id="13" w:name="_Toc27273"/>
            <w:r>
              <w:rPr>
                <w:rFonts w:hint="eastAsia" w:ascii="宋体" w:hAnsi="宋体" w:eastAsia="宋体" w:cs="宋体"/>
                <w:snapToGrid/>
                <w:color w:val="auto"/>
                <w:sz w:val="22"/>
                <w:szCs w:val="22"/>
                <w:highlight w:val="none"/>
                <w:lang w:eastAsia="zh-CN"/>
              </w:rPr>
              <w:t>50</w:t>
            </w:r>
          </w:p>
        </w:tc>
        <w:tc>
          <w:tcPr>
            <w:tcW w:w="2091" w:type="dxa"/>
            <w:tcBorders>
              <w:top w:val="single" w:color="auto" w:sz="4" w:space="0"/>
              <w:left w:val="single" w:color="auto" w:sz="4" w:space="0"/>
              <w:bottom w:val="single" w:color="auto" w:sz="4" w:space="0"/>
              <w:right w:val="single" w:color="auto" w:sz="4" w:space="0"/>
            </w:tcBorders>
            <w:vAlign w:val="center"/>
          </w:tcPr>
          <w:p w14:paraId="56309945">
            <w:pPr>
              <w:widowControl w:val="0"/>
              <w:kinsoku/>
              <w:autoSpaceDE/>
              <w:autoSpaceDN/>
              <w:spacing w:line="360" w:lineRule="auto"/>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关于本项目清单预算价编制等有关造价内容的特别约定</w:t>
            </w:r>
          </w:p>
          <w:p w14:paraId="2174C30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p>
        </w:tc>
        <w:tc>
          <w:tcPr>
            <w:tcW w:w="7118" w:type="dxa"/>
            <w:tcBorders>
              <w:top w:val="single" w:color="auto" w:sz="4" w:space="0"/>
              <w:left w:val="single" w:color="auto" w:sz="4" w:space="0"/>
              <w:bottom w:val="single" w:color="auto" w:sz="4" w:space="0"/>
              <w:right w:val="single" w:color="auto" w:sz="4" w:space="0"/>
            </w:tcBorders>
            <w:vAlign w:val="center"/>
          </w:tcPr>
          <w:p w14:paraId="176BEBDF">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ascii="宋体" w:hAnsi="Times New Roman" w:eastAsia="宋体" w:cs="Times New Roman"/>
                <w:snapToGrid/>
                <w:color w:val="auto"/>
                <w:spacing w:val="2"/>
                <w:sz w:val="22"/>
                <w:szCs w:val="18"/>
                <w:highlight w:val="none"/>
                <w:lang w:eastAsia="zh-CN"/>
              </w:rPr>
              <w:t>1、中标人收到中标通知书后，须在投标须知前附表规定的时间内与</w:t>
            </w:r>
            <w:r>
              <w:rPr>
                <w:rFonts w:hint="eastAsia" w:ascii="宋体" w:hAnsi="Times New Roman" w:eastAsia="宋体" w:cs="Times New Roman"/>
                <w:snapToGrid/>
                <w:color w:val="auto"/>
                <w:spacing w:val="2"/>
                <w:sz w:val="22"/>
                <w:szCs w:val="18"/>
                <w:highlight w:val="none"/>
                <w:lang w:eastAsia="zh-CN"/>
              </w:rPr>
              <w:t>招标人签订费率合同。在工程施工图设计完成并通过审查后，由本项目成交单位编制施工图预算并送审计单位审核，待审核单位对工程预算审核完成后10日内交招标人审核，对该工程费用造价予以明确。</w:t>
            </w:r>
          </w:p>
          <w:p w14:paraId="22448030">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注：（1）其中暂列金额及其税金不下浮。</w:t>
            </w:r>
          </w:p>
          <w:p w14:paraId="38F6716D">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（2）由招标人组织市场询价且经过招标人确认的或由发包人主导采购，并由承包人签订采购合同的材料、设备、专业工程的价格不下浮。</w:t>
            </w:r>
          </w:p>
          <w:p w14:paraId="616A4115">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2、工程量清单及施工图预算价的编制：</w:t>
            </w:r>
          </w:p>
          <w:p w14:paraId="444F9E57">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（1）施工图预算采用工程量清单综合单价计价法，根据经招标人确认且图审合格的施工图纸、本项目的招标文件等进行编制。</w:t>
            </w:r>
          </w:p>
          <w:p w14:paraId="3D7A5608">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（2）编制、</w:t>
            </w:r>
            <w:r>
              <w:rPr>
                <w:rFonts w:hint="eastAsia" w:ascii="宋体" w:hAnsi="Times New Roman" w:eastAsia="宋体" w:cs="Times New Roman"/>
                <w:snapToGrid/>
                <w:color w:val="auto"/>
                <w:spacing w:val="2"/>
                <w:sz w:val="22"/>
                <w:szCs w:val="18"/>
                <w:highlight w:val="none"/>
                <w:lang w:val="en-US" w:eastAsia="zh-CN"/>
              </w:rPr>
              <w:t>结算</w:t>
            </w:r>
            <w:r>
              <w:rPr>
                <w:rFonts w:hint="eastAsia" w:ascii="宋体" w:hAnsi="Times New Roman" w:eastAsia="宋体" w:cs="Times New Roman"/>
                <w:snapToGrid/>
                <w:color w:val="auto"/>
                <w:spacing w:val="2"/>
                <w:sz w:val="22"/>
                <w:szCs w:val="18"/>
                <w:highlight w:val="none"/>
                <w:lang w:eastAsia="zh-CN"/>
              </w:rPr>
              <w:t>及计价依据：《安徽省住房城乡建设厅关于发布2018版安徽省建设工程计价依据的通知》（建标〔2017〕191号）规定的2018版安徽省建设工程计价依据：《安徽省建设工程工程量清单计价办法》、《安徽省建设工程施工机械台班费用编制规则》、《安徽省建设工程计价定额（共用册）》、《安徽省建筑工程计价定额》、《安徽省装饰装修工程计价定额》、《安徽省安装工程计价定额》、《安徽省市政工程计价定额》、《安徽省园林绿化工程计价定额》、《关于调整安徽省建设工程不可竞争费构成及计费标准的通知》（建标〔2021〕42文）、《安徽省建设工程计价依据动态调整（第2期）》、《关于发布《安徽省安装工程计价定额（消防工程修编版）》等三部定额的公告》（安徽省住房和城乡建设厅公告2020第176号）、《关于发布2018版安徽省建设工程计价依据部分修编内容的公告》（安徽省住房和城乡建设厅公告2021第53号）、《霍邱县人民政府关于印发霍邱县</w:t>
            </w:r>
            <w:r>
              <w:rPr>
                <w:rFonts w:hint="eastAsia" w:ascii="宋体" w:hAnsi="Times New Roman" w:eastAsia="宋体" w:cs="Times New Roman"/>
                <w:snapToGrid/>
                <w:color w:val="auto"/>
                <w:spacing w:val="2"/>
                <w:sz w:val="22"/>
                <w:szCs w:val="18"/>
                <w:highlight w:val="none"/>
                <w:lang w:val="en-US" w:eastAsia="zh-CN"/>
              </w:rPr>
              <w:t>政府</w:t>
            </w:r>
            <w:bookmarkStart w:id="92" w:name="_GoBack"/>
            <w:bookmarkEnd w:id="92"/>
            <w:r>
              <w:rPr>
                <w:rFonts w:hint="eastAsia" w:ascii="宋体" w:hAnsi="Times New Roman" w:eastAsia="宋体" w:cs="Times New Roman"/>
                <w:snapToGrid/>
                <w:color w:val="auto"/>
                <w:spacing w:val="2"/>
                <w:sz w:val="22"/>
                <w:szCs w:val="18"/>
                <w:highlight w:val="none"/>
                <w:lang w:eastAsia="zh-CN"/>
              </w:rPr>
              <w:t>投资建设项目价款结算审核管理办法（试行）》的通知等。</w:t>
            </w:r>
          </w:p>
          <w:p w14:paraId="1943565D">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3）施工图预算由分部分项工程费、措施项目费、不可竞争费、其他项目费和税金组成，其中：①定额人工单价按施工图审查合格当月六安市政策文件执行。②材料基准价按施工图审查合格当月《六安建设工程造价》六安霍邱部分，霍邱县没有的，参考六安市的信息价格，《六安建设工程造价》中没有的执行《合肥建设工程市场价格信息》，《六安建设工程造价》、《合肥建设工程市场价格信息》均没有的则由招标人组织市场询价确定。③综合费（企业管理费+利润）统一按市政工程专业费率计取；总价措施项目费统一按市政工程费率计取（其中赶工措施费不计取），编制施工图预算时取费费率均按上述计价依据规定的费率计取；措施项目费按确定的工程量清单中的措施项目清单，结合本项目的要求编制；对于施工机械设备的选型根据工程特点和施工条件，本着经济实用、先进高效的原则确定。④不可竞争费：安全文明施工费（环境保护费、文明施工费、安全施工费、临时设施费)，含扬尘污染防治费按建标〔2021〕42号文规定市政工程市区费率计取，环境保护税按实际缴纳的发票金额在结算中调整（预算中暂不列）。⑤其他项目清单费按确认后的工程量清单确定。⑥税金按现行税金税率计取标准计取。⑦暂列金额在后续预算送审时由招标人根据实际情况确定。（在批准的概算投资内，可按不超过审定预算价的10%取整设置暂列金额，其使用权在招标人，具体以招标人要求的为</w:t>
            </w:r>
          </w:p>
          <w:p w14:paraId="4754DF03">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准）。备注：在上述施工图预算编制过程中，计价依据、规范或人工费、机械费定额文件或其他造价管理文件有更新时，按法律法规规范规定执行最新文件。</w:t>
            </w:r>
          </w:p>
          <w:p w14:paraId="1DFC5CE5">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4）关于设备价格的特别约定：施工图设计文件应明确设备技术参数（参数设置不能有唯一性、排他性），并对主要设备（招标人认为是关键产品的设备）提供三个同档次同性能的主流品牌产品报招标人审核。审核同意后，招标人组织预算编制、跟踪审计等单位通过市场询价方式对软硬件设备价格进行确定，价格确定时坚持同档次同性能低价优先原则。</w:t>
            </w:r>
          </w:p>
          <w:p w14:paraId="758478C2">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3、招标人在施工图预算编制完成后、送审前，交由中标人提出意见，中标人如有疑问，须在收到预算后7日内向招标人以书面形式一次性提出。如双方无法对中标人关于预算内容的疑问达成一致意见，则由招标人组织相关部门和专家（专家人选由招标人确定）论证形成论证意见，该论证意见为预算送审的最终依据，对此中标人不得拒绝。除上述规定的情形外，中标人不得对招标人确定的工程量清单及控制价的编制方式、编制软件等提出异议，不得干预后期材料询价、预算编制及审核的价格水平、工作进度等，不得以后期预算未送审及审核价格未定或过低等理由拖延或拒绝施</w:t>
            </w:r>
            <w:r>
              <w:rPr>
                <w:rFonts w:ascii="宋体" w:hAnsi="Times New Roman" w:eastAsia="宋体" w:cs="Times New Roman"/>
                <w:snapToGrid/>
                <w:color w:val="auto"/>
                <w:spacing w:val="2"/>
                <w:sz w:val="22"/>
                <w:szCs w:val="18"/>
                <w:highlight w:val="none"/>
                <w:lang w:eastAsia="zh-CN"/>
              </w:rPr>
              <w:t>工。施工时对照施工方案中的各项施工节点，若中标人因上述原因导</w:t>
            </w:r>
            <w:r>
              <w:rPr>
                <w:rFonts w:hint="eastAsia" w:ascii="宋体" w:hAnsi="Times New Roman" w:eastAsia="宋体" w:cs="Times New Roman"/>
                <w:snapToGrid/>
                <w:color w:val="auto"/>
                <w:spacing w:val="2"/>
                <w:sz w:val="22"/>
                <w:szCs w:val="18"/>
                <w:highlight w:val="none"/>
                <w:lang w:eastAsia="zh-CN"/>
              </w:rPr>
              <w:t>致延期，除按照合同专用条款得约定进行处理外，还须按照1万元/天的标准向招标人支付违约金。</w:t>
            </w:r>
          </w:p>
          <w:p w14:paraId="761993D3">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4、招标人委托的审核单位审定的预算成果文件（包含工程量清单及详细价格等）作为本项目工程款支付、变更、结算等的计算依据。如发生工程变更，变更价款按照专用合同条款约定执行。</w:t>
            </w:r>
          </w:p>
          <w:p w14:paraId="4E48EE7A">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Times New Roman" w:eastAsia="宋体" w:cs="Times New Roman"/>
                <w:snapToGrid/>
                <w:color w:val="auto"/>
                <w:spacing w:val="2"/>
                <w:sz w:val="22"/>
                <w:szCs w:val="18"/>
                <w:highlight w:val="none"/>
                <w:lang w:eastAsia="zh-CN"/>
              </w:rPr>
              <w:t>5、由发、承包人双方共同询价且经过发包人确认的或由发包人主导采购，并由承包人签订采购合同的材料、设备、专业工程的价格不参与结算下浮。</w:t>
            </w:r>
          </w:p>
        </w:tc>
      </w:tr>
      <w:tr w14:paraId="5E6C0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6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613A6CE">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51</w:t>
            </w:r>
          </w:p>
        </w:tc>
        <w:tc>
          <w:tcPr>
            <w:tcW w:w="2091" w:type="dxa"/>
            <w:tcBorders>
              <w:top w:val="single" w:color="auto" w:sz="4" w:space="0"/>
              <w:left w:val="single" w:color="auto" w:sz="4" w:space="0"/>
              <w:bottom w:val="single" w:color="auto" w:sz="4" w:space="0"/>
              <w:right w:val="single" w:color="auto" w:sz="4" w:space="0"/>
            </w:tcBorders>
            <w:vAlign w:val="center"/>
          </w:tcPr>
          <w:p w14:paraId="6AF31B81">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资质动态核查要求</w:t>
            </w:r>
          </w:p>
        </w:tc>
        <w:tc>
          <w:tcPr>
            <w:tcW w:w="7118" w:type="dxa"/>
            <w:tcBorders>
              <w:top w:val="single" w:color="auto" w:sz="4" w:space="0"/>
              <w:left w:val="single" w:color="auto" w:sz="4" w:space="0"/>
              <w:bottom w:val="single" w:color="auto" w:sz="4" w:space="0"/>
              <w:right w:val="single" w:color="auto" w:sz="4" w:space="0"/>
            </w:tcBorders>
            <w:vAlign w:val="center"/>
          </w:tcPr>
          <w:p w14:paraId="0B7308A5">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投标人现有注册建造师专业、数量应满足《建筑业企业资质标准》及有关文件中投标人对应资质等级标准“企业主要人员”规定的注册建造师要求。评标委员会仅通过“全国建筑市场监管公共服务平台(四库一平台)”查询拟推荐成交候选人是否存在上述情形，并将查询截图及查询结果在评标报告中予以记录。本项目对应资质要求的建造师数量如下:</w:t>
            </w:r>
          </w:p>
          <w:p w14:paraId="571F6141">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（1）市政公用工程施工总承包特级资质企业：注册一级建造师50人以上。</w:t>
            </w:r>
          </w:p>
          <w:p w14:paraId="69E2E71B">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（2）市政公用工程施工总承包一级资质企业：市政公用工程专业一级注册建造师合计不少于12人。</w:t>
            </w:r>
          </w:p>
          <w:p w14:paraId="40C8F79C">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（3）市政公用工程施工总承包二级、三级资质企业：市政公用工程专业注册建造师合计不少于5人。</w:t>
            </w:r>
          </w:p>
          <w:p w14:paraId="5E816B32">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环保</w:t>
            </w:r>
            <w:r>
              <w:rPr>
                <w:rFonts w:hint="eastAsia" w:ascii="宋体" w:hAnsi="宋体" w:eastAsia="宋体" w:cs="宋体"/>
                <w:color w:val="auto"/>
                <w:spacing w:val="-3"/>
                <w:sz w:val="22"/>
                <w:szCs w:val="22"/>
                <w:highlight w:val="none"/>
                <w:lang w:eastAsia="zh-CN"/>
              </w:rPr>
              <w:t>工程</w:t>
            </w:r>
            <w:r>
              <w:rPr>
                <w:rFonts w:hint="eastAsia" w:ascii="宋体" w:hAnsi="宋体" w:eastAsia="宋体" w:cs="宋体"/>
                <w:color w:val="auto"/>
                <w:spacing w:val="-3"/>
                <w:sz w:val="22"/>
                <w:szCs w:val="22"/>
                <w:highlight w:val="none"/>
                <w:lang w:val="en-US" w:eastAsia="zh-CN"/>
              </w:rPr>
              <w:t>专业</w:t>
            </w:r>
            <w:r>
              <w:rPr>
                <w:rFonts w:hint="eastAsia" w:ascii="宋体" w:hAnsi="宋体" w:eastAsia="宋体" w:cs="宋体"/>
                <w:color w:val="auto"/>
                <w:spacing w:val="-3"/>
                <w:sz w:val="22"/>
                <w:szCs w:val="22"/>
                <w:highlight w:val="none"/>
                <w:lang w:eastAsia="zh-CN"/>
              </w:rPr>
              <w:t>承包</w:t>
            </w:r>
            <w:r>
              <w:rPr>
                <w:rFonts w:hint="eastAsia" w:ascii="宋体" w:hAnsi="宋体" w:eastAsia="宋体" w:cs="宋体"/>
                <w:color w:val="auto"/>
                <w:spacing w:val="-3"/>
                <w:sz w:val="22"/>
                <w:szCs w:val="22"/>
                <w:highlight w:val="none"/>
                <w:lang w:val="en-US" w:eastAsia="zh-CN"/>
              </w:rPr>
              <w:t>一</w:t>
            </w:r>
            <w:r>
              <w:rPr>
                <w:rFonts w:hint="eastAsia" w:ascii="宋体" w:hAnsi="宋体" w:eastAsia="宋体" w:cs="宋体"/>
                <w:color w:val="auto"/>
                <w:spacing w:val="-3"/>
                <w:sz w:val="22"/>
                <w:szCs w:val="22"/>
                <w:highlight w:val="none"/>
                <w:lang w:eastAsia="zh-CN"/>
              </w:rPr>
              <w:t>级资质企业：</w:t>
            </w:r>
            <w:r>
              <w:rPr>
                <w:rFonts w:hint="eastAsia" w:ascii="宋体" w:hAnsi="宋体" w:eastAsia="宋体" w:cs="宋体"/>
                <w:color w:val="auto"/>
                <w:spacing w:val="-3"/>
                <w:sz w:val="22"/>
                <w:szCs w:val="22"/>
                <w:highlight w:val="none"/>
                <w:lang w:val="en-US" w:eastAsia="zh-CN"/>
              </w:rPr>
              <w:t>一级</w:t>
            </w:r>
            <w:r>
              <w:rPr>
                <w:rFonts w:hint="eastAsia" w:ascii="宋体" w:hAnsi="宋体" w:eastAsia="宋体" w:cs="宋体"/>
                <w:color w:val="auto"/>
                <w:spacing w:val="-3"/>
                <w:sz w:val="22"/>
                <w:szCs w:val="22"/>
                <w:highlight w:val="none"/>
                <w:lang w:eastAsia="zh-CN"/>
              </w:rPr>
              <w:t>注册建造师合计不少于5人。</w:t>
            </w:r>
          </w:p>
          <w:p w14:paraId="426AADF7">
            <w:pPr>
              <w:widowControl w:val="0"/>
              <w:kinsoku/>
              <w:autoSpaceDE/>
              <w:autoSpaceDN/>
              <w:spacing w:line="360" w:lineRule="auto"/>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5</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环保</w:t>
            </w:r>
            <w:r>
              <w:rPr>
                <w:rFonts w:hint="eastAsia" w:ascii="宋体" w:hAnsi="宋体" w:eastAsia="宋体" w:cs="宋体"/>
                <w:color w:val="auto"/>
                <w:spacing w:val="-3"/>
                <w:sz w:val="22"/>
                <w:szCs w:val="22"/>
                <w:highlight w:val="none"/>
                <w:lang w:eastAsia="zh-CN"/>
              </w:rPr>
              <w:t>工程</w:t>
            </w:r>
            <w:r>
              <w:rPr>
                <w:rFonts w:hint="eastAsia" w:ascii="宋体" w:hAnsi="宋体" w:eastAsia="宋体" w:cs="宋体"/>
                <w:color w:val="auto"/>
                <w:spacing w:val="-3"/>
                <w:sz w:val="22"/>
                <w:szCs w:val="22"/>
                <w:highlight w:val="none"/>
                <w:lang w:val="en-US" w:eastAsia="zh-CN"/>
              </w:rPr>
              <w:t>专业</w:t>
            </w:r>
            <w:r>
              <w:rPr>
                <w:rFonts w:hint="eastAsia" w:ascii="宋体" w:hAnsi="宋体" w:eastAsia="宋体" w:cs="宋体"/>
                <w:color w:val="auto"/>
                <w:spacing w:val="-3"/>
                <w:sz w:val="22"/>
                <w:szCs w:val="22"/>
                <w:highlight w:val="none"/>
                <w:lang w:eastAsia="zh-CN"/>
              </w:rPr>
              <w:t>承包二级资质企业：注册建造师合计不少于5人。</w:t>
            </w:r>
          </w:p>
          <w:p w14:paraId="78CFFEB9">
            <w:pPr>
              <w:widowControl w:val="0"/>
              <w:kinsoku/>
              <w:autoSpaceDE/>
              <w:autoSpaceDN/>
              <w:spacing w:line="360" w:lineRule="auto"/>
              <w:textAlignment w:val="auto"/>
              <w:rPr>
                <w:rFonts w:ascii="宋体" w:hAnsi="Times New Roman" w:eastAsia="宋体" w:cs="Times New Roman"/>
                <w:snapToGrid/>
                <w:color w:val="auto"/>
                <w:spacing w:val="2"/>
                <w:sz w:val="22"/>
                <w:szCs w:val="18"/>
                <w:highlight w:val="none"/>
                <w:lang w:eastAsia="zh-CN"/>
              </w:rPr>
            </w:pPr>
            <w:r>
              <w:rPr>
                <w:rFonts w:hint="eastAsia" w:ascii="宋体" w:hAnsi="宋体" w:eastAsia="宋体" w:cs="宋体"/>
                <w:color w:val="auto"/>
                <w:spacing w:val="-3"/>
                <w:sz w:val="22"/>
                <w:szCs w:val="22"/>
                <w:highlight w:val="none"/>
                <w:lang w:eastAsia="zh-CN"/>
              </w:rPr>
              <w:t>举例：某项目招标要求投标人具备市政公用工程施工总承包叁级以上资质，A、B企业为拟推荐中标候选人。A企业投标文件中响应该项目的投标资质为市政公用工程施工总承包一级，《建筑业企业资质标准》中市政公用工程施工总承包资质一级资质标准中关于注册建造师要求为：市政公用工程专业一级注册建造师不少于12人。评标委员会通过全国建筑市场监管公共服务平台（四库一平台）核查时，A企业注册建造师须满足“市政公用工程专业一级注册建造师不少于12人，才能被推荐为中标候选人。B企业投标文件中响应该项目的投标资质为市政公用工程施工总承包三级资质，评标委员会通过全国建筑市场监管公共服务平台（四库一平台）核查时，B企业注册建造师须满足“市政公用工程专业注册建造师不少于5人”，才能被推荐为中标候选人。注：查询结果仅以开标当日评标委员会从“全国建筑市场监管公共服务平台(四库一平台)”现场截图为确认依据。</w:t>
            </w:r>
          </w:p>
        </w:tc>
      </w:tr>
      <w:tr w14:paraId="05311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6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70EFE85A">
            <w:pPr>
              <w:widowControl w:val="0"/>
              <w:kinsoku/>
              <w:autoSpaceDE/>
              <w:autoSpaceDN/>
              <w:spacing w:line="300" w:lineRule="exact"/>
              <w:ind w:firstLine="220" w:firstLineChars="100"/>
              <w:jc w:val="both"/>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52</w:t>
            </w:r>
          </w:p>
        </w:tc>
        <w:tc>
          <w:tcPr>
            <w:tcW w:w="2091" w:type="dxa"/>
            <w:tcBorders>
              <w:top w:val="single" w:color="auto" w:sz="4" w:space="0"/>
              <w:left w:val="single" w:color="auto" w:sz="4" w:space="0"/>
              <w:bottom w:val="single" w:color="auto" w:sz="4" w:space="0"/>
              <w:right w:val="single" w:color="auto" w:sz="4" w:space="0"/>
            </w:tcBorders>
            <w:vAlign w:val="center"/>
          </w:tcPr>
          <w:p w14:paraId="3EB1C7F8">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限额设计要求及设计方案</w:t>
            </w:r>
          </w:p>
        </w:tc>
        <w:tc>
          <w:tcPr>
            <w:tcW w:w="7118" w:type="dxa"/>
            <w:tcBorders>
              <w:top w:val="single" w:color="auto" w:sz="4" w:space="0"/>
              <w:left w:val="single" w:color="auto" w:sz="4" w:space="0"/>
              <w:bottom w:val="single" w:color="auto" w:sz="4" w:space="0"/>
              <w:right w:val="single" w:color="auto" w:sz="4" w:space="0"/>
            </w:tcBorders>
            <w:vAlign w:val="center"/>
          </w:tcPr>
          <w:p w14:paraId="455157ED">
            <w:pPr>
              <w:widowControl w:val="0"/>
              <w:numPr>
                <w:ilvl w:val="0"/>
                <w:numId w:val="4"/>
              </w:numPr>
              <w:kinsoku/>
              <w:autoSpaceDE/>
              <w:autoSpaceDN/>
              <w:spacing w:line="360" w:lineRule="auto"/>
              <w:ind w:firstLine="440" w:firstLineChars="200"/>
              <w:textAlignment w:val="auto"/>
              <w:rPr>
                <w:rFonts w:ascii="Times New Roman" w:hAnsi="Times New Roman" w:eastAsia="宋体" w:cs="Times New Roman"/>
                <w:bCs/>
                <w:snapToGrid/>
                <w:color w:val="auto"/>
                <w:kern w:val="2"/>
                <w:sz w:val="22"/>
                <w:szCs w:val="22"/>
                <w:highlight w:val="none"/>
                <w:lang w:eastAsia="zh-CN"/>
              </w:rPr>
            </w:pPr>
            <w:r>
              <w:rPr>
                <w:rFonts w:hint="eastAsia" w:ascii="Times New Roman" w:hAnsi="Times New Roman" w:eastAsia="宋体" w:cs="Times New Roman"/>
                <w:bCs/>
                <w:snapToGrid/>
                <w:color w:val="auto"/>
                <w:kern w:val="2"/>
                <w:sz w:val="22"/>
                <w:szCs w:val="22"/>
                <w:highlight w:val="none"/>
                <w:lang w:eastAsia="zh-CN"/>
              </w:rPr>
              <w:t>承包人应根据建设行政主管部门或其他上级主管部门就本工程批准的方案、初步设计图纸及概算等文件进行施工图限额设计,经审定批复的初步设计概算为投资控制红线,承包人施工图设计范围对应工程造价不得超过中标费率报价对应范围的工程造价。</w:t>
            </w:r>
          </w:p>
          <w:p w14:paraId="5CA6E8FA">
            <w:pPr>
              <w:widowControl w:val="0"/>
              <w:kinsoku/>
              <w:autoSpaceDE/>
              <w:autoSpaceDN/>
              <w:spacing w:line="360" w:lineRule="auto"/>
              <w:ind w:firstLine="440" w:firstLineChars="200"/>
              <w:textAlignment w:val="auto"/>
              <w:rPr>
                <w:rFonts w:ascii="Times New Roman" w:hAnsi="Times New Roman" w:eastAsia="宋体" w:cs="Times New Roman"/>
                <w:bCs/>
                <w:snapToGrid/>
                <w:color w:val="auto"/>
                <w:kern w:val="2"/>
                <w:sz w:val="22"/>
                <w:szCs w:val="22"/>
                <w:highlight w:val="none"/>
                <w:lang w:eastAsia="zh-CN"/>
              </w:rPr>
            </w:pPr>
            <w:r>
              <w:rPr>
                <w:rFonts w:hint="eastAsia" w:ascii="Times New Roman" w:hAnsi="Times New Roman" w:eastAsia="宋体" w:cs="Times New Roman"/>
                <w:bCs/>
                <w:snapToGrid/>
                <w:color w:val="auto"/>
                <w:kern w:val="2"/>
                <w:sz w:val="22"/>
                <w:szCs w:val="22"/>
                <w:highlight w:val="none"/>
                <w:lang w:eastAsia="zh-CN"/>
              </w:rPr>
              <w:t>2、承包人在进行施工图设计同时应编制工程量清单及控制价,设计阶段一旦出现工程造价超限的情况,承包人应及时调整设计,以满足限额设计要求。施工图设计完成后承包人将工程量清单及控制价一并送发包人审査,发包人将委托跟踪审计单位进行审核,施工过程中发包人委托的跟踪审计单位将实时监控工程造价情况,一旦出现可预见的造价超限的情况,承包人应在满足总工期要求的前提下调整设计至满足要求。</w:t>
            </w:r>
          </w:p>
          <w:p w14:paraId="0A449C69">
            <w:pPr>
              <w:widowControl w:val="0"/>
              <w:kinsoku/>
              <w:autoSpaceDE/>
              <w:autoSpaceDN/>
              <w:spacing w:line="360" w:lineRule="auto"/>
              <w:ind w:firstLine="440" w:firstLineChars="200"/>
              <w:textAlignment w:val="auto"/>
              <w:rPr>
                <w:rFonts w:hint="eastAsia" w:ascii="宋体" w:hAnsi="宋体" w:eastAsia="宋体" w:cs="宋体"/>
                <w:bCs/>
                <w:color w:val="auto"/>
                <w:spacing w:val="-3"/>
                <w:sz w:val="22"/>
                <w:szCs w:val="22"/>
                <w:highlight w:val="none"/>
                <w:lang w:eastAsia="zh-CN"/>
              </w:rPr>
            </w:pPr>
            <w:r>
              <w:rPr>
                <w:rFonts w:hint="eastAsia" w:ascii="Times New Roman" w:hAnsi="Times New Roman" w:eastAsia="宋体" w:cs="Times New Roman"/>
                <w:bCs/>
                <w:snapToGrid/>
                <w:color w:val="auto"/>
                <w:kern w:val="2"/>
                <w:sz w:val="22"/>
                <w:szCs w:val="22"/>
                <w:highlight w:val="none"/>
                <w:lang w:eastAsia="zh-CN"/>
              </w:rPr>
              <w:t>因非承包人原因造成的造价超限的情况,由发包人通过相关途径解决,承包人不承担责任,但仍需按照发包人要求在新确定的造价限额内做好限额设计工作。</w:t>
            </w:r>
          </w:p>
        </w:tc>
      </w:tr>
      <w:tr w14:paraId="7B43E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6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CD64AEF">
            <w:pPr>
              <w:widowControl w:val="0"/>
              <w:kinsoku/>
              <w:autoSpaceDE/>
              <w:autoSpaceDN/>
              <w:spacing w:line="300" w:lineRule="exact"/>
              <w:jc w:val="center"/>
              <w:textAlignment w:val="auto"/>
              <w:rPr>
                <w:rFonts w:hint="eastAsia" w:ascii="宋体" w:hAnsi="宋体" w:eastAsia="宋体" w:cs="宋体"/>
                <w:snapToGrid/>
                <w:color w:val="auto"/>
                <w:sz w:val="22"/>
                <w:szCs w:val="22"/>
                <w:highlight w:val="none"/>
                <w:lang w:eastAsia="zh-CN"/>
              </w:rPr>
            </w:pPr>
            <w:r>
              <w:rPr>
                <w:rFonts w:hint="eastAsia" w:ascii="宋体" w:hAnsi="宋体" w:eastAsia="宋体" w:cs="宋体"/>
                <w:snapToGrid/>
                <w:color w:val="auto"/>
                <w:sz w:val="22"/>
                <w:szCs w:val="22"/>
                <w:highlight w:val="none"/>
                <w:lang w:eastAsia="zh-CN"/>
              </w:rPr>
              <w:t>5</w:t>
            </w:r>
            <w:r>
              <w:rPr>
                <w:rFonts w:hint="eastAsia" w:ascii="宋体" w:hAnsi="宋体" w:eastAsia="宋体" w:cs="宋体"/>
                <w:snapToGrid/>
                <w:color w:val="auto"/>
                <w:sz w:val="22"/>
                <w:szCs w:val="22"/>
                <w:highlight w:val="none"/>
                <w:lang w:val="en-US" w:eastAsia="zh-CN"/>
              </w:rPr>
              <w:t>3</w:t>
            </w:r>
          </w:p>
        </w:tc>
        <w:tc>
          <w:tcPr>
            <w:tcW w:w="2091" w:type="dxa"/>
            <w:tcBorders>
              <w:top w:val="single" w:color="auto" w:sz="4" w:space="0"/>
              <w:left w:val="single" w:color="auto" w:sz="4" w:space="0"/>
              <w:bottom w:val="single" w:color="auto" w:sz="4" w:space="0"/>
              <w:right w:val="single" w:color="auto" w:sz="4" w:space="0"/>
            </w:tcBorders>
            <w:vAlign w:val="center"/>
          </w:tcPr>
          <w:p w14:paraId="2405A504">
            <w:pPr>
              <w:widowControl w:val="0"/>
              <w:kinsoku/>
              <w:autoSpaceDE/>
              <w:autoSpaceDN/>
              <w:spacing w:line="300" w:lineRule="exact"/>
              <w:jc w:val="center"/>
              <w:textAlignment w:val="auto"/>
              <w:rPr>
                <w:rFonts w:ascii="Times New Roman" w:hAnsi="Times New Roman" w:eastAsia="宋体"/>
                <w:color w:val="auto"/>
                <w:sz w:val="22"/>
                <w:szCs w:val="20"/>
                <w:highlight w:val="none"/>
                <w:lang w:eastAsia="zh-CN"/>
              </w:rPr>
            </w:pPr>
            <w:r>
              <w:rPr>
                <w:rFonts w:hint="eastAsia" w:ascii="Times New Roman" w:hAnsi="Times New Roman" w:eastAsia="宋体"/>
                <w:color w:val="auto"/>
                <w:sz w:val="22"/>
                <w:szCs w:val="20"/>
                <w:highlight w:val="none"/>
                <w:lang w:eastAsia="zh-CN"/>
              </w:rPr>
              <w:t>异常低价</w:t>
            </w:r>
          </w:p>
        </w:tc>
        <w:tc>
          <w:tcPr>
            <w:tcW w:w="7118" w:type="dxa"/>
            <w:tcBorders>
              <w:top w:val="single" w:color="auto" w:sz="4" w:space="0"/>
              <w:left w:val="single" w:color="auto" w:sz="4" w:space="0"/>
              <w:bottom w:val="single" w:color="auto" w:sz="4" w:space="0"/>
              <w:right w:val="single" w:color="auto" w:sz="4" w:space="0"/>
            </w:tcBorders>
            <w:vAlign w:val="center"/>
          </w:tcPr>
          <w:p w14:paraId="07985D67">
            <w:pPr>
              <w:widowControl w:val="0"/>
              <w:kinsoku/>
              <w:autoSpaceDE/>
              <w:autoSpaceDN/>
              <w:spacing w:line="360" w:lineRule="auto"/>
              <w:ind w:firstLine="428" w:firstLineChars="200"/>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lang w:eastAsia="zh-CN"/>
              </w:rPr>
              <w:t>省住建厅《关于进一步规范全省房屋建筑和市政基础设施工程招标投标活动的通知》（建市函[2020]1073号）要求，评标委员会应依据相关法律法规、政策文件、评标办法等，严格履行职责，客观公正评审，并对评审结果负责。建立异常低价评审制度。拟推荐的中标候选人的报价存在异常低价的，评标委员会应当在推荐前要求投标人在合理期限内作出澄清或者说明，并提供必要的证明材料。评标委员会要对通过评审的异常低价中标候选人合同履行能力及工程质量安全等风险进行全面评估，并作为评标结果的附件提交给招标人。投标人不能作出有效澄清、说明或评标委员会认定其存在履约及质量安全风险的，评标委员会应否决其投标。结合我省实际，本项目工程投标报价（四舍五入保留至小数点后两位数）低于最高限价的85%（市政基础设施工程），作为异常低价。（注：本项目为费率报价，最高限价为100%，企业投标报价低于85%时，作为异常低价。）</w:t>
            </w:r>
          </w:p>
        </w:tc>
      </w:tr>
      <w:bookmarkEnd w:id="12"/>
      <w:bookmarkEnd w:id="13"/>
    </w:tbl>
    <w:p w14:paraId="782D9CD1">
      <w:pPr>
        <w:pStyle w:val="11"/>
        <w:spacing w:line="360" w:lineRule="exact"/>
        <w:rPr>
          <w:rFonts w:hint="eastAsia" w:hAnsi="宋体" w:cs="宋体"/>
          <w:bCs/>
          <w:szCs w:val="24"/>
        </w:rPr>
      </w:pPr>
    </w:p>
    <w:p w14:paraId="08E5F67D">
      <w:pPr>
        <w:pStyle w:val="11"/>
        <w:numPr>
          <w:ilvl w:val="0"/>
          <w:numId w:val="5"/>
        </w:numPr>
        <w:spacing w:line="400" w:lineRule="exact"/>
        <w:rPr>
          <w:rFonts w:hint="eastAsia" w:hAnsi="宋体" w:cs="宋体"/>
          <w:b/>
          <w:bCs/>
          <w:szCs w:val="24"/>
        </w:rPr>
      </w:pPr>
      <w:r>
        <w:rPr>
          <w:rFonts w:hint="eastAsia" w:hAnsi="宋体" w:cs="宋体"/>
          <w:b/>
          <w:bCs/>
          <w:szCs w:val="24"/>
        </w:rPr>
        <w:t>总则</w:t>
      </w:r>
    </w:p>
    <w:p w14:paraId="792DD6EC">
      <w:pPr>
        <w:pStyle w:val="11"/>
        <w:spacing w:line="400" w:lineRule="exact"/>
        <w:rPr>
          <w:rFonts w:hint="eastAsia" w:hAnsi="宋体" w:cs="宋体"/>
          <w:bCs/>
          <w:szCs w:val="24"/>
        </w:rPr>
      </w:pPr>
      <w:r>
        <w:rPr>
          <w:rFonts w:hint="eastAsia" w:hAnsi="宋体" w:cs="宋体"/>
          <w:bCs/>
          <w:szCs w:val="24"/>
        </w:rPr>
        <w:t>1、工程说明</w:t>
      </w:r>
    </w:p>
    <w:p w14:paraId="6E9B20CE">
      <w:pPr>
        <w:widowControl w:val="0"/>
        <w:kinsoku/>
        <w:autoSpaceDE/>
        <w:autoSpaceDN/>
        <w:spacing w:line="400" w:lineRule="exact"/>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1.1本招标工程项目说明详见本须知前附表；</w:t>
      </w:r>
    </w:p>
    <w:p w14:paraId="50466F74">
      <w:pPr>
        <w:widowControl w:val="0"/>
        <w:kinsoku/>
        <w:autoSpaceDE/>
        <w:autoSpaceDN/>
        <w:spacing w:line="400" w:lineRule="exact"/>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1.2本招标工程项目按照《中华人民共和国招标投标法》、《中华人民共和国招标投标法实施条例》、《工程建设项目施工招标投标办法》等有关法律、法规和规章要求，通过公开招标方式选定中标人（承包人）。</w:t>
      </w:r>
    </w:p>
    <w:p w14:paraId="392E8F48">
      <w:pPr>
        <w:pStyle w:val="11"/>
        <w:spacing w:line="400" w:lineRule="exact"/>
        <w:rPr>
          <w:rFonts w:hint="eastAsia" w:hAnsi="宋体" w:cs="宋体"/>
          <w:szCs w:val="24"/>
        </w:rPr>
      </w:pPr>
      <w:r>
        <w:rPr>
          <w:rFonts w:hint="eastAsia" w:hAnsi="宋体" w:cs="宋体"/>
          <w:szCs w:val="24"/>
        </w:rPr>
        <w:t>2、招标范围、承包方式</w:t>
      </w:r>
    </w:p>
    <w:p w14:paraId="4A3B845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2.1本招标工程项目的招标范围及工程内容见本须知前附表；</w:t>
      </w:r>
    </w:p>
    <w:p w14:paraId="6850C682">
      <w:pPr>
        <w:widowControl w:val="0"/>
        <w:kinsoku/>
        <w:autoSpaceDE/>
        <w:autoSpaceDN/>
        <w:adjustRightInd/>
        <w:snapToGrid/>
        <w:spacing w:line="400" w:lineRule="exact"/>
        <w:ind w:firstLine="360" w:firstLineChars="15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2.2本招标工程项目的承包方式见本须知前附表。</w:t>
      </w:r>
    </w:p>
    <w:p w14:paraId="7DDC5F4F">
      <w:pPr>
        <w:pStyle w:val="11"/>
        <w:spacing w:line="400" w:lineRule="exact"/>
        <w:rPr>
          <w:rFonts w:hint="eastAsia" w:hAnsi="宋体" w:cs="宋体"/>
          <w:szCs w:val="24"/>
        </w:rPr>
      </w:pPr>
      <w:r>
        <w:rPr>
          <w:rFonts w:hint="eastAsia" w:hAnsi="宋体" w:cs="宋体"/>
          <w:bCs/>
          <w:szCs w:val="24"/>
        </w:rPr>
        <w:t>3</w:t>
      </w:r>
      <w:r>
        <w:rPr>
          <w:rFonts w:hint="eastAsia" w:hAnsi="宋体" w:cs="宋体"/>
          <w:szCs w:val="24"/>
        </w:rPr>
        <w:t>、资金来源</w:t>
      </w:r>
    </w:p>
    <w:p w14:paraId="0A416418">
      <w:pPr>
        <w:widowControl w:val="0"/>
        <w:kinsoku/>
        <w:autoSpaceDE/>
        <w:autoSpaceDN/>
        <w:spacing w:line="400" w:lineRule="exact"/>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本招标工程项目资金来源见本须知前附表。</w:t>
      </w:r>
    </w:p>
    <w:p w14:paraId="09A9B314">
      <w:pPr>
        <w:pStyle w:val="11"/>
        <w:spacing w:line="400" w:lineRule="exact"/>
        <w:rPr>
          <w:rFonts w:hint="eastAsia" w:hAnsi="宋体" w:cs="宋体"/>
          <w:szCs w:val="24"/>
        </w:rPr>
      </w:pPr>
      <w:r>
        <w:rPr>
          <w:rFonts w:hint="eastAsia" w:hAnsi="宋体" w:cs="宋体"/>
          <w:szCs w:val="24"/>
        </w:rPr>
        <w:t>4、合格的投标人</w:t>
      </w:r>
    </w:p>
    <w:p w14:paraId="4E47CF3F">
      <w:pPr>
        <w:widowControl w:val="0"/>
        <w:kinsoku/>
        <w:autoSpaceDE/>
        <w:autoSpaceDN/>
        <w:spacing w:line="400" w:lineRule="exact"/>
        <w:ind w:firstLine="48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4.1投标人资质等级、设计负责人、项目经理（建造师）、项目班子成员资格见前附表，</w:t>
      </w:r>
      <w:r>
        <w:rPr>
          <w:rFonts w:hint="eastAsia" w:ascii="宋体" w:hAnsi="宋体" w:eastAsia="宋体" w:cs="宋体"/>
          <w:snapToGrid/>
          <w:spacing w:val="1"/>
          <w:sz w:val="24"/>
          <w:szCs w:val="24"/>
          <w:lang w:eastAsia="zh-CN"/>
        </w:rPr>
        <w:t>项目经理、设计负责人</w:t>
      </w:r>
      <w:r>
        <w:rPr>
          <w:rFonts w:hint="eastAsia" w:ascii="宋体" w:hAnsi="宋体" w:eastAsia="宋体" w:cs="宋体"/>
          <w:snapToGrid/>
          <w:color w:val="auto"/>
          <w:spacing w:val="1"/>
          <w:sz w:val="24"/>
          <w:szCs w:val="24"/>
          <w:lang w:eastAsia="zh-CN"/>
        </w:rPr>
        <w:t>、技术负责人</w:t>
      </w:r>
      <w:r>
        <w:rPr>
          <w:rFonts w:hint="eastAsia" w:ascii="宋体" w:hAnsi="宋体" w:eastAsia="宋体" w:cs="宋体"/>
          <w:snapToGrid/>
          <w:sz w:val="24"/>
          <w:szCs w:val="24"/>
          <w:lang w:eastAsia="zh-CN"/>
        </w:rPr>
        <w:t>必须是本单位工作人员。评审时以投标人所属社保机构出具的包括投标截止日所属月份（含）为基点起往前计算已经过去的连续5个月内不少于连续缴费3个月的拟委任的项目经理、技术负责人的社保缴费清单等社保缴费证明原件扫描件为准（例：7月19日开标，则连续5个月是指7月、6月、5月、4月、3月；连续3个月是指7月、6月、5月或6月、5月、4月或5月、4月、3月，其他类推）。无社保缴费证明或提供的社保缴费证明不满足招标要求的，其投标资格无效（如年满60周岁无法提供社保缴费证明的，可提供聘用合同原件扫描件和包括投标截止日所属月份（含）为基点起往前计算已经过去的连续5个月内不少于连续发放3个月的加盖银行印章的能体现聘用企业名称及拟委任项目经理或技术负责人姓名的工资打卡流水账单原件扫描件）；属于弄虚作假的，按本招标文件第35条的规定处理。</w:t>
      </w:r>
    </w:p>
    <w:p w14:paraId="33E67A94">
      <w:pPr>
        <w:widowControl w:val="0"/>
        <w:kinsoku/>
        <w:autoSpaceDE/>
        <w:autoSpaceDN/>
        <w:spacing w:line="400" w:lineRule="exact"/>
        <w:ind w:firstLine="48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4.2投标人合格条件详见本工程招标文件或本工程投标资格审查文件。</w:t>
      </w:r>
    </w:p>
    <w:p w14:paraId="2BF95FAD">
      <w:pPr>
        <w:widowControl w:val="0"/>
        <w:kinsoku/>
        <w:autoSpaceDE/>
        <w:autoSpaceDN/>
        <w:spacing w:line="400" w:lineRule="exact"/>
        <w:ind w:firstLine="48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4.3本招标工程项目采用公告和本须知前附表所述的资格审查方式确定合格投标人。</w:t>
      </w:r>
    </w:p>
    <w:p w14:paraId="18D83682">
      <w:pPr>
        <w:pStyle w:val="2"/>
        <w:spacing w:after="0" w:line="400" w:lineRule="exact"/>
        <w:ind w:left="0" w:leftChars="0" w:right="63" w:firstLine="480" w:firstLineChars="200"/>
        <w:jc w:val="both"/>
        <w:rPr>
          <w:rFonts w:hint="eastAsia" w:ascii="宋体" w:hAnsi="宋体" w:cs="宋体"/>
          <w:kern w:val="2"/>
          <w:szCs w:val="24"/>
        </w:rPr>
      </w:pPr>
      <w:r>
        <w:rPr>
          <w:rFonts w:hint="eastAsia" w:ascii="宋体" w:hAnsi="宋体" w:cs="宋体"/>
          <w:szCs w:val="24"/>
        </w:rPr>
        <w:t>4.4</w:t>
      </w:r>
      <w:r>
        <w:rPr>
          <w:rFonts w:hint="eastAsia" w:ascii="宋体" w:hAnsi="宋体" w:cs="宋体"/>
          <w:kern w:val="2"/>
          <w:szCs w:val="24"/>
        </w:rPr>
        <w:t>被列入严重违法失信企业名单的投标人，其投标资格无效，仅以开标当日评标委员会从“国家企业信用信息公示系统”查询、现场截图、询标函为确认依据。</w:t>
      </w:r>
    </w:p>
    <w:p w14:paraId="39AFD7B8">
      <w:pPr>
        <w:pStyle w:val="2"/>
        <w:spacing w:after="0" w:line="400" w:lineRule="exact"/>
        <w:ind w:left="0" w:leftChars="0" w:right="63" w:firstLine="480" w:firstLineChars="200"/>
        <w:jc w:val="both"/>
        <w:rPr>
          <w:rFonts w:hint="eastAsia" w:ascii="宋体" w:hAnsi="宋体" w:cs="宋体"/>
          <w:kern w:val="2"/>
          <w:szCs w:val="24"/>
        </w:rPr>
      </w:pPr>
      <w:r>
        <w:rPr>
          <w:rFonts w:hint="eastAsia" w:ascii="宋体" w:hAnsi="宋体" w:cs="宋体"/>
          <w:szCs w:val="24"/>
        </w:rPr>
        <w:t>4.5</w:t>
      </w:r>
      <w:r>
        <w:rPr>
          <w:rFonts w:hint="eastAsia" w:ascii="宋体" w:hAnsi="宋体" w:cs="宋体"/>
          <w:kern w:val="2"/>
          <w:szCs w:val="24"/>
        </w:rPr>
        <w:t>被列入失信被执行人名单或重大税收违法案件当事人名单或拖欠农民工工资失信联合惩戒对象名单的投标人，其投标资格无效，仅以开标当日评标委员会从“信用中国”网站查询、现场截图、询标函为确认依据。</w:t>
      </w:r>
    </w:p>
    <w:p w14:paraId="29F3740E">
      <w:pPr>
        <w:widowControl w:val="0"/>
        <w:kinsoku/>
        <w:autoSpaceDE/>
        <w:autoSpaceDN/>
        <w:spacing w:line="400" w:lineRule="exact"/>
        <w:ind w:firstLine="482"/>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4.6根据本工程的特点，投标人必须认真阅读招标文件内容，按照招标文件要求编写投标文件，其内容应详实。</w:t>
      </w:r>
    </w:p>
    <w:p w14:paraId="7BB7F820">
      <w:pPr>
        <w:widowControl w:val="0"/>
        <w:kinsoku/>
        <w:autoSpaceDE/>
        <w:autoSpaceDN/>
        <w:spacing w:line="400" w:lineRule="exact"/>
        <w:ind w:firstLine="482"/>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4.7投标人认为有必要，可结合所编制的工程量清单报价书提供相应技术说明。</w:t>
      </w:r>
    </w:p>
    <w:p w14:paraId="5BB6E8EC">
      <w:pPr>
        <w:pStyle w:val="11"/>
        <w:spacing w:line="400" w:lineRule="exact"/>
        <w:rPr>
          <w:rFonts w:hint="eastAsia" w:hAnsi="宋体" w:cs="宋体"/>
          <w:szCs w:val="24"/>
        </w:rPr>
      </w:pPr>
      <w:r>
        <w:rPr>
          <w:rFonts w:hint="eastAsia" w:hAnsi="宋体" w:cs="宋体"/>
          <w:szCs w:val="24"/>
        </w:rPr>
        <w:t>5、踏勘现场</w:t>
      </w:r>
    </w:p>
    <w:p w14:paraId="131284F9">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招标人不组织踏勘现场。投标人认为有必要的，可自行对工程项目现场及周围环境进行踏勘以获得有关编制投标文件和签署合同所涉及现场的资料。踏勘现场所发生的费用由投标人自己承担。投标人可为踏勘目的进入本项目现场，但投标人不得因此使招标人承担有关的责任和蒙受损失。投标人自行承担踏勘现场的责任和风险。</w:t>
      </w:r>
    </w:p>
    <w:p w14:paraId="4883F2C3">
      <w:pPr>
        <w:pStyle w:val="11"/>
        <w:spacing w:line="400" w:lineRule="exact"/>
        <w:rPr>
          <w:rFonts w:hint="eastAsia" w:hAnsi="宋体" w:cs="宋体"/>
          <w:szCs w:val="24"/>
        </w:rPr>
      </w:pPr>
      <w:r>
        <w:rPr>
          <w:rFonts w:hint="eastAsia" w:hAnsi="宋体" w:cs="宋体"/>
          <w:szCs w:val="24"/>
        </w:rPr>
        <w:t>6、招标人向投标人提供的所有数据和资料，是招标人现有的能被投标人利用的资料，招标人对投标人做出的任何推论、理解和结论均不负责任。</w:t>
      </w:r>
    </w:p>
    <w:p w14:paraId="0905066C">
      <w:pPr>
        <w:pStyle w:val="11"/>
        <w:spacing w:line="400" w:lineRule="exact"/>
        <w:rPr>
          <w:rFonts w:hint="eastAsia" w:hAnsi="宋体" w:cs="宋体"/>
          <w:szCs w:val="24"/>
        </w:rPr>
      </w:pPr>
      <w:r>
        <w:rPr>
          <w:rFonts w:hint="eastAsia" w:hAnsi="宋体" w:cs="宋体"/>
          <w:szCs w:val="24"/>
        </w:rPr>
        <w:t>7、投标费用</w:t>
      </w:r>
    </w:p>
    <w:p w14:paraId="20D42013">
      <w:pPr>
        <w:pStyle w:val="11"/>
        <w:spacing w:line="400" w:lineRule="exact"/>
        <w:ind w:firstLine="360" w:firstLineChars="150"/>
        <w:rPr>
          <w:rFonts w:hint="eastAsia" w:hAnsi="宋体" w:cs="宋体"/>
          <w:szCs w:val="24"/>
        </w:rPr>
      </w:pPr>
      <w:r>
        <w:rPr>
          <w:rFonts w:hint="eastAsia" w:hAnsi="宋体" w:cs="宋体"/>
          <w:szCs w:val="24"/>
        </w:rPr>
        <w:t>投标人应承担其编制投标文件与递交投标文件等投标过程中所涉及的一切费用，不论投标结果如何，招标人将不予承担。</w:t>
      </w:r>
    </w:p>
    <w:p w14:paraId="04DF2D48">
      <w:pPr>
        <w:pStyle w:val="6"/>
        <w:spacing w:before="0" w:after="0" w:line="400" w:lineRule="exact"/>
        <w:rPr>
          <w:rFonts w:hint="eastAsia" w:ascii="宋体" w:hAnsi="宋体" w:eastAsia="宋体" w:cs="宋体"/>
          <w:szCs w:val="24"/>
        </w:rPr>
      </w:pPr>
      <w:bookmarkStart w:id="14" w:name="_Toc13759"/>
      <w:bookmarkStart w:id="15" w:name="_Toc306204883"/>
      <w:r>
        <w:rPr>
          <w:rFonts w:hint="eastAsia" w:ascii="宋体" w:hAnsi="宋体" w:eastAsia="宋体" w:cs="宋体"/>
          <w:szCs w:val="24"/>
        </w:rPr>
        <w:t>（三）招标文件</w:t>
      </w:r>
      <w:bookmarkEnd w:id="14"/>
      <w:bookmarkEnd w:id="15"/>
    </w:p>
    <w:p w14:paraId="00D8D55D">
      <w:pPr>
        <w:pStyle w:val="11"/>
        <w:spacing w:line="400" w:lineRule="exact"/>
        <w:rPr>
          <w:rFonts w:hint="eastAsia" w:hAnsi="宋体" w:cs="宋体"/>
          <w:szCs w:val="24"/>
        </w:rPr>
      </w:pPr>
      <w:r>
        <w:rPr>
          <w:rFonts w:hint="eastAsia" w:hAnsi="宋体" w:cs="宋体"/>
          <w:szCs w:val="24"/>
        </w:rPr>
        <w:t>8、招标文件的组成</w:t>
      </w:r>
    </w:p>
    <w:p w14:paraId="197DF8BA">
      <w:pPr>
        <w:pStyle w:val="11"/>
        <w:spacing w:line="400" w:lineRule="exact"/>
        <w:ind w:firstLine="360" w:firstLineChars="150"/>
        <w:rPr>
          <w:rFonts w:hint="eastAsia" w:hAnsi="宋体" w:cs="宋体"/>
          <w:szCs w:val="24"/>
        </w:rPr>
      </w:pPr>
      <w:r>
        <w:rPr>
          <w:rFonts w:hint="eastAsia" w:hAnsi="宋体" w:cs="宋体"/>
          <w:szCs w:val="24"/>
        </w:rPr>
        <w:t>8.1招标文件包括下列内容：</w:t>
      </w:r>
    </w:p>
    <w:p w14:paraId="10BBA3EF">
      <w:pPr>
        <w:pStyle w:val="11"/>
        <w:spacing w:line="400" w:lineRule="exact"/>
        <w:ind w:firstLine="360" w:firstLineChars="150"/>
        <w:rPr>
          <w:rFonts w:hint="eastAsia" w:hAnsi="宋体" w:cs="宋体"/>
          <w:szCs w:val="24"/>
        </w:rPr>
      </w:pPr>
      <w:r>
        <w:rPr>
          <w:rFonts w:hint="eastAsia" w:hAnsi="宋体" w:cs="宋体"/>
          <w:szCs w:val="24"/>
        </w:rPr>
        <w:t>8.1.1本招标文件的全部内容；</w:t>
      </w:r>
    </w:p>
    <w:p w14:paraId="098CB4D3">
      <w:pPr>
        <w:pStyle w:val="11"/>
        <w:spacing w:line="400" w:lineRule="exact"/>
        <w:ind w:firstLine="360" w:firstLineChars="150"/>
        <w:rPr>
          <w:rFonts w:hint="eastAsia" w:hAnsi="宋体" w:cs="宋体"/>
          <w:szCs w:val="24"/>
        </w:rPr>
      </w:pPr>
      <w:r>
        <w:rPr>
          <w:rFonts w:hint="eastAsia" w:hAnsi="宋体" w:cs="宋体"/>
          <w:szCs w:val="24"/>
        </w:rPr>
        <w:t>8.1.2本工程投标答疑文件及通知。</w:t>
      </w:r>
    </w:p>
    <w:p w14:paraId="7601A5D4">
      <w:pPr>
        <w:pStyle w:val="11"/>
        <w:spacing w:line="400" w:lineRule="exact"/>
        <w:ind w:firstLine="360" w:firstLineChars="150"/>
        <w:rPr>
          <w:rFonts w:hint="eastAsia" w:hAnsi="宋体" w:cs="宋体"/>
          <w:szCs w:val="24"/>
        </w:rPr>
      </w:pPr>
      <w:r>
        <w:rPr>
          <w:rFonts w:hint="eastAsia" w:hAnsi="宋体" w:cs="宋体"/>
          <w:szCs w:val="24"/>
        </w:rPr>
        <w:t>8.2本工程资格审查文件（若有）也为招标文件的组成部分。</w:t>
      </w:r>
    </w:p>
    <w:p w14:paraId="3843ADCA">
      <w:pPr>
        <w:pStyle w:val="11"/>
        <w:spacing w:line="400" w:lineRule="exact"/>
        <w:ind w:firstLine="480" w:firstLineChars="200"/>
        <w:rPr>
          <w:rFonts w:hint="eastAsia" w:hAnsi="宋体" w:cs="宋体"/>
          <w:szCs w:val="24"/>
        </w:rPr>
      </w:pPr>
      <w:r>
        <w:rPr>
          <w:rFonts w:hint="eastAsia" w:hAnsi="宋体" w:cs="宋体"/>
          <w:szCs w:val="24"/>
        </w:rPr>
        <w:t>投标人从网上获取招标文件后，应仔细检查招标文件的所有内容，如有残缺等问题应在获得招标文件3日内向招标人提出，否则，由此引起的责任和损失由投标人自己承担。投标人应认真阅读招标文件中所有的事项、格式、条款和规范要求等，若投标人的投标文件没有按照招标文件的要求提交全部资料或由于投标人自己理解产生的误差或投标文件没有对招标文件做出实质性响应，其风险由投标人自行承担，同时根据有关条款规定，该投标文件有可能被拒绝。</w:t>
      </w:r>
    </w:p>
    <w:p w14:paraId="176EF2AE">
      <w:pPr>
        <w:pStyle w:val="11"/>
        <w:spacing w:line="400" w:lineRule="exact"/>
        <w:rPr>
          <w:rFonts w:hint="eastAsia" w:hAnsi="宋体" w:cs="宋体"/>
          <w:szCs w:val="24"/>
        </w:rPr>
      </w:pPr>
      <w:r>
        <w:rPr>
          <w:rFonts w:hint="eastAsia" w:hAnsi="宋体" w:cs="宋体"/>
          <w:szCs w:val="24"/>
        </w:rPr>
        <w:t>9、招标文件的澄清</w:t>
      </w:r>
    </w:p>
    <w:p w14:paraId="1660BDF4">
      <w:pPr>
        <w:pStyle w:val="11"/>
        <w:spacing w:line="400" w:lineRule="exact"/>
        <w:ind w:firstLine="360" w:firstLineChars="150"/>
        <w:rPr>
          <w:rFonts w:hint="eastAsia" w:hAnsi="宋体" w:cs="宋体"/>
          <w:szCs w:val="24"/>
        </w:rPr>
      </w:pPr>
      <w:r>
        <w:rPr>
          <w:rFonts w:hint="eastAsia" w:hAnsi="宋体" w:cs="宋体"/>
          <w:szCs w:val="24"/>
        </w:rPr>
        <w:t>投标人若对招标文件有疑问，应按照本项目招标公告的规定在网上向招标人提出澄清要求。无论招标人是根据需要主动对招标文件做出的澄清或是根据投标人的要求对招标文件做出的澄清，招标人都将按照招标公告规定的时间和方式在网上发布，该澄清文件作为招标文件的组成部分，对招标人和投标人均具有约束作用。投标人自行浏览，自行下载。</w:t>
      </w:r>
    </w:p>
    <w:p w14:paraId="1863EAB9">
      <w:pPr>
        <w:pStyle w:val="11"/>
        <w:spacing w:line="400" w:lineRule="exact"/>
        <w:rPr>
          <w:rFonts w:hint="eastAsia" w:hAnsi="宋体" w:cs="宋体"/>
          <w:szCs w:val="24"/>
        </w:rPr>
      </w:pPr>
      <w:r>
        <w:rPr>
          <w:rFonts w:hint="eastAsia" w:hAnsi="宋体" w:cs="宋体"/>
          <w:szCs w:val="24"/>
        </w:rPr>
        <w:t>10、招标文件的修改</w:t>
      </w:r>
    </w:p>
    <w:p w14:paraId="4C306DB5">
      <w:pPr>
        <w:pStyle w:val="11"/>
        <w:spacing w:line="400" w:lineRule="exact"/>
        <w:ind w:firstLine="480" w:firstLineChars="200"/>
        <w:rPr>
          <w:rFonts w:hint="eastAsia" w:hAnsi="宋体" w:cs="宋体"/>
          <w:szCs w:val="24"/>
        </w:rPr>
      </w:pPr>
      <w:r>
        <w:rPr>
          <w:rFonts w:hint="eastAsia" w:hAnsi="宋体" w:cs="宋体"/>
          <w:szCs w:val="24"/>
        </w:rPr>
        <w:t>10.1招标文件发出后，在招标文件（时间安排表）中规定的时间，招标人可对招标文件进行必要的修改。</w:t>
      </w:r>
    </w:p>
    <w:p w14:paraId="78EDA2ED">
      <w:pPr>
        <w:pStyle w:val="11"/>
        <w:spacing w:line="400" w:lineRule="exact"/>
        <w:ind w:firstLine="480" w:firstLineChars="200"/>
        <w:rPr>
          <w:rFonts w:hint="eastAsia" w:hAnsi="宋体" w:cs="宋体"/>
          <w:szCs w:val="24"/>
        </w:rPr>
      </w:pPr>
      <w:r>
        <w:rPr>
          <w:rFonts w:hint="eastAsia" w:hAnsi="宋体" w:cs="宋体"/>
          <w:szCs w:val="24"/>
        </w:rPr>
        <w:t>10.2招标文件的修改内容经备案后，通过网络发送给所有投标人。招标文件的修改内容作为招标文件的组成部分，对招标人和投标人均具有约束作用。</w:t>
      </w:r>
    </w:p>
    <w:p w14:paraId="4F9046B2">
      <w:pPr>
        <w:pStyle w:val="11"/>
        <w:spacing w:line="400" w:lineRule="exact"/>
        <w:ind w:firstLine="480" w:firstLineChars="200"/>
        <w:rPr>
          <w:rFonts w:hint="eastAsia" w:hAnsi="宋体" w:cs="宋体"/>
          <w:szCs w:val="24"/>
        </w:rPr>
      </w:pPr>
      <w:r>
        <w:rPr>
          <w:rFonts w:hint="eastAsia" w:hAnsi="宋体" w:cs="宋体"/>
          <w:szCs w:val="24"/>
        </w:rPr>
        <w:t>10.3招标文件的澄清、修改、补充等内容均以网上备案内容为准。当招标文件、招标文件的澄清、修改、补充等在同一内容的表述上不一致时，以最后发出的经网上备案的内容为准。</w:t>
      </w:r>
    </w:p>
    <w:p w14:paraId="6CF50A61">
      <w:pPr>
        <w:pStyle w:val="11"/>
        <w:spacing w:line="400" w:lineRule="exact"/>
        <w:ind w:firstLine="480" w:firstLineChars="200"/>
        <w:rPr>
          <w:rFonts w:hint="eastAsia" w:hAnsi="宋体" w:cs="宋体"/>
          <w:szCs w:val="24"/>
        </w:rPr>
      </w:pPr>
      <w:r>
        <w:rPr>
          <w:rFonts w:hint="eastAsia" w:hAnsi="宋体" w:cs="宋体"/>
          <w:szCs w:val="24"/>
        </w:rPr>
        <w:t>10.4为使投标人在编制投标文件时有充分的时间对招标文件的澄清、修改、补充等内容进行研究，招标人可以以澄清或修改、补充通知的方式，酌情延长提交投标文件的截止时间，具体时间将在招标文件的修改、补充通知中予以明确并在网上通知所有投标人。在此情况下，投标人的所有权利和义务以及投标人受制约的截止时间，均以延长后新的投标截止时间为准。</w:t>
      </w:r>
    </w:p>
    <w:p w14:paraId="0F9C24C6">
      <w:pPr>
        <w:pStyle w:val="11"/>
        <w:spacing w:line="400" w:lineRule="exact"/>
        <w:ind w:firstLine="480" w:firstLineChars="200"/>
        <w:rPr>
          <w:rFonts w:hint="eastAsia" w:hAnsi="宋体" w:cs="宋体"/>
          <w:szCs w:val="24"/>
        </w:rPr>
      </w:pPr>
      <w:r>
        <w:rPr>
          <w:rFonts w:hint="eastAsia" w:hAnsi="宋体" w:cs="宋体"/>
          <w:szCs w:val="24"/>
        </w:rPr>
        <w:t>10.5如果投标人在答疑截止时间前，未对招标文件有关条款提出质疑，视为充分理解招标文件所有内容，一旦递交投标文件，则认为该投标人接受招标文件的所有条款。</w:t>
      </w:r>
    </w:p>
    <w:p w14:paraId="743B8B61">
      <w:pPr>
        <w:pStyle w:val="11"/>
        <w:spacing w:line="400" w:lineRule="exact"/>
        <w:ind w:firstLine="480" w:firstLineChars="200"/>
        <w:rPr>
          <w:rFonts w:hint="eastAsia" w:hAnsi="宋体" w:cs="宋体"/>
          <w:szCs w:val="24"/>
        </w:rPr>
      </w:pPr>
      <w:r>
        <w:rPr>
          <w:rFonts w:hint="eastAsia" w:hAnsi="宋体" w:cs="宋体"/>
          <w:szCs w:val="24"/>
        </w:rPr>
        <w:t>10.6投标人依据施工图等资料对清单工程量提出异议的，必须附计算书并在网上提出，由招标人复核并在网上向所有投标人答复。不能提供计算书的，招标人对此异议不予受理，以后也不再调整工程量。工程量清单误差±3%以内的，招标人可不予调整，投标人自行在投标报价内考虑。工程量清单误差超过±3%的，由招标人调整并在网上发布调整结果。无任何投标人依据网上发布的施工图等资料对清单工程量提出异议和计算书的，即使以后提出，也不予调整。招标人将对编制工程量清单误差超过±3%的单位按规定予以追究责任。</w:t>
      </w:r>
    </w:p>
    <w:p w14:paraId="2B5F0512">
      <w:pPr>
        <w:pStyle w:val="11"/>
        <w:spacing w:line="400" w:lineRule="exact"/>
        <w:ind w:firstLine="480" w:firstLineChars="200"/>
        <w:rPr>
          <w:rFonts w:hint="eastAsia" w:hAnsi="宋体" w:cs="宋体"/>
          <w:szCs w:val="24"/>
        </w:rPr>
      </w:pPr>
      <w:r>
        <w:rPr>
          <w:rFonts w:hint="eastAsia" w:hAnsi="宋体" w:cs="宋体"/>
          <w:szCs w:val="24"/>
        </w:rPr>
        <w:t>10.7招标人对投标人提出的问题将以网上答疑的方式予以答复，答复仅包括对问题的解释但不说明问题的来源。</w:t>
      </w:r>
    </w:p>
    <w:p w14:paraId="77524EB0">
      <w:pPr>
        <w:pStyle w:val="11"/>
        <w:spacing w:line="400" w:lineRule="exact"/>
        <w:ind w:firstLine="480" w:firstLineChars="200"/>
        <w:rPr>
          <w:rFonts w:hint="eastAsia" w:hAnsi="宋体" w:cs="宋体"/>
          <w:szCs w:val="24"/>
        </w:rPr>
      </w:pPr>
      <w:r>
        <w:rPr>
          <w:rFonts w:hint="eastAsia" w:hAnsi="宋体" w:cs="宋体"/>
          <w:szCs w:val="24"/>
        </w:rPr>
        <w:t>10.8答复、补充通知或答疑纪要等按照招标公告规定的时间和方式在网上发布。网上答复、补充通知或答疑纪要等均以网上备案内容为准并作为招标文件的组成部分，对招标人、投标人均具有约束作用。</w:t>
      </w:r>
    </w:p>
    <w:p w14:paraId="2BA1BD42">
      <w:pPr>
        <w:pStyle w:val="6"/>
        <w:spacing w:before="0" w:after="0" w:line="400" w:lineRule="exact"/>
        <w:rPr>
          <w:rFonts w:hint="eastAsia" w:ascii="宋体" w:hAnsi="宋体" w:eastAsia="宋体" w:cs="宋体"/>
          <w:szCs w:val="24"/>
        </w:rPr>
      </w:pPr>
      <w:bookmarkStart w:id="16" w:name="_Toc2715"/>
      <w:bookmarkStart w:id="17" w:name="_Toc306204884"/>
      <w:r>
        <w:rPr>
          <w:rFonts w:hint="eastAsia" w:ascii="宋体" w:hAnsi="宋体" w:eastAsia="宋体" w:cs="宋体"/>
          <w:szCs w:val="24"/>
        </w:rPr>
        <w:t>（四）投标文件的编制</w:t>
      </w:r>
      <w:bookmarkEnd w:id="16"/>
      <w:bookmarkEnd w:id="17"/>
    </w:p>
    <w:p w14:paraId="76E6689C">
      <w:pPr>
        <w:pStyle w:val="15"/>
        <w:spacing w:beforeLines="0" w:afterLines="0" w:line="400" w:lineRule="exact"/>
        <w:ind w:left="0"/>
        <w:rPr>
          <w:rFonts w:hint="eastAsia" w:hAnsi="宋体" w:cs="宋体"/>
          <w:szCs w:val="24"/>
        </w:rPr>
      </w:pPr>
      <w:r>
        <w:rPr>
          <w:rFonts w:hint="eastAsia" w:hAnsi="宋体" w:cs="宋体"/>
          <w:szCs w:val="24"/>
        </w:rPr>
        <w:t>11、投标文件的语言及度量衡单位</w:t>
      </w:r>
    </w:p>
    <w:p w14:paraId="00482E7F">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11.1投标文件和与投标有关的所有文件均应使用</w:t>
      </w:r>
      <w:r>
        <w:rPr>
          <w:rFonts w:hint="eastAsia" w:ascii="宋体" w:hAnsi="宋体" w:eastAsia="宋体" w:cs="宋体"/>
          <w:snapToGrid/>
          <w:sz w:val="24"/>
          <w:szCs w:val="24"/>
          <w:u w:val="single"/>
          <w:lang w:eastAsia="zh-CN"/>
        </w:rPr>
        <w:t>中文</w:t>
      </w:r>
      <w:r>
        <w:rPr>
          <w:rFonts w:hint="eastAsia" w:ascii="宋体" w:hAnsi="宋体" w:eastAsia="宋体" w:cs="宋体"/>
          <w:snapToGrid/>
          <w:sz w:val="24"/>
          <w:szCs w:val="24"/>
          <w:lang w:eastAsia="zh-CN"/>
        </w:rPr>
        <w:t>。投标人随投标文件提供的证明文件和印刷品可以是其它语言，但必须附</w:t>
      </w:r>
      <w:r>
        <w:rPr>
          <w:rFonts w:hint="eastAsia" w:ascii="宋体" w:hAnsi="宋体" w:eastAsia="宋体" w:cs="宋体"/>
          <w:bCs/>
          <w:snapToGrid/>
          <w:sz w:val="24"/>
          <w:szCs w:val="24"/>
          <w:lang w:val="zh-CN" w:eastAsia="zh-CN"/>
        </w:rPr>
        <w:t>有经权威翻译机构核准的</w:t>
      </w:r>
      <w:r>
        <w:rPr>
          <w:rFonts w:hint="eastAsia" w:ascii="宋体" w:hAnsi="宋体" w:eastAsia="宋体" w:cs="宋体"/>
          <w:snapToGrid/>
          <w:sz w:val="24"/>
          <w:szCs w:val="24"/>
          <w:lang w:eastAsia="zh-CN"/>
        </w:rPr>
        <w:t>中文译文。</w:t>
      </w:r>
    </w:p>
    <w:p w14:paraId="6C2C817F">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11.2除工程规范另有规定外，投标文件使用的度量衡单位，均采用中华人民共和国法定计量单位。</w:t>
      </w:r>
    </w:p>
    <w:p w14:paraId="0270CA4C">
      <w:pPr>
        <w:pStyle w:val="11"/>
        <w:spacing w:line="400" w:lineRule="exact"/>
        <w:rPr>
          <w:rFonts w:hint="eastAsia" w:hAnsi="宋体" w:cs="宋体"/>
          <w:szCs w:val="24"/>
        </w:rPr>
      </w:pPr>
      <w:r>
        <w:rPr>
          <w:rFonts w:hint="eastAsia" w:hAnsi="宋体" w:cs="宋体"/>
          <w:szCs w:val="24"/>
        </w:rPr>
        <w:t>12、投标文件的组成</w:t>
      </w:r>
    </w:p>
    <w:p w14:paraId="3C0D695A">
      <w:pPr>
        <w:pStyle w:val="11"/>
        <w:spacing w:line="400" w:lineRule="exact"/>
        <w:ind w:firstLine="480" w:firstLineChars="200"/>
        <w:rPr>
          <w:rFonts w:hint="eastAsia" w:hAnsi="宋体" w:cs="宋体"/>
          <w:szCs w:val="24"/>
        </w:rPr>
      </w:pPr>
      <w:r>
        <w:rPr>
          <w:rFonts w:hint="eastAsia" w:hAnsi="宋体" w:cs="宋体"/>
          <w:szCs w:val="24"/>
        </w:rPr>
        <w:t>12.1投标文件由技术标一投标文件、技术标二投标文件、商务标投标文件组成。</w:t>
      </w:r>
    </w:p>
    <w:p w14:paraId="698F6DD3">
      <w:pPr>
        <w:pStyle w:val="11"/>
        <w:spacing w:line="400" w:lineRule="exact"/>
        <w:ind w:firstLine="480" w:firstLineChars="200"/>
        <w:rPr>
          <w:rFonts w:hint="eastAsia" w:hAnsi="宋体" w:cs="宋体"/>
          <w:bCs/>
          <w:szCs w:val="24"/>
        </w:rPr>
      </w:pPr>
      <w:r>
        <w:rPr>
          <w:rFonts w:hint="eastAsia" w:hAnsi="宋体" w:cs="宋体"/>
          <w:szCs w:val="24"/>
        </w:rPr>
        <w:t>12.2技术标一（设计服务方案、</w:t>
      </w:r>
      <w:r>
        <w:rPr>
          <w:rFonts w:hint="eastAsia" w:hAnsi="宋体" w:cs="宋体"/>
          <w:bCs/>
          <w:szCs w:val="24"/>
        </w:rPr>
        <w:t>施工组织设计）投标文件主要内容：</w:t>
      </w:r>
    </w:p>
    <w:p w14:paraId="3E75171D">
      <w:pPr>
        <w:pStyle w:val="11"/>
        <w:spacing w:line="400" w:lineRule="exact"/>
        <w:ind w:firstLine="480" w:firstLineChars="200"/>
        <w:rPr>
          <w:rFonts w:hint="eastAsia" w:hAnsi="宋体" w:cs="宋体"/>
          <w:b/>
          <w:bCs/>
          <w:szCs w:val="24"/>
        </w:rPr>
      </w:pPr>
      <w:r>
        <w:rPr>
          <w:rFonts w:hint="eastAsia" w:hAnsi="宋体" w:cs="宋体"/>
          <w:bCs/>
          <w:szCs w:val="24"/>
        </w:rPr>
        <w:t>设计服务方案</w:t>
      </w:r>
      <w:r>
        <w:rPr>
          <w:rFonts w:hint="eastAsia" w:hAnsi="宋体" w:cs="宋体"/>
          <w:szCs w:val="24"/>
        </w:rPr>
        <w:t>(1)</w:t>
      </w:r>
      <w:r>
        <w:rPr>
          <w:rFonts w:hint="eastAsia" w:hAnsi="宋体" w:cs="宋体"/>
          <w:bCs/>
          <w:szCs w:val="24"/>
        </w:rPr>
        <w:t>、总体理解</w:t>
      </w:r>
      <w:r>
        <w:rPr>
          <w:rFonts w:hint="eastAsia" w:hAnsi="宋体" w:cs="宋体"/>
          <w:szCs w:val="24"/>
        </w:rPr>
        <w:t>(2)</w:t>
      </w:r>
      <w:r>
        <w:rPr>
          <w:rFonts w:hint="eastAsia" w:hAnsi="宋体" w:cs="宋体"/>
          <w:bCs/>
          <w:szCs w:val="24"/>
        </w:rPr>
        <w:t>、设计重难点分析</w:t>
      </w:r>
      <w:r>
        <w:rPr>
          <w:rFonts w:hint="eastAsia" w:hAnsi="宋体" w:cs="宋体"/>
          <w:szCs w:val="24"/>
        </w:rPr>
        <w:t>(3)</w:t>
      </w:r>
      <w:r>
        <w:rPr>
          <w:rFonts w:hint="eastAsia" w:hAnsi="宋体" w:cs="宋体"/>
          <w:bCs/>
          <w:szCs w:val="24"/>
        </w:rPr>
        <w:t>、设计工作安排(4)设计质量保证体系</w:t>
      </w:r>
      <w:r>
        <w:rPr>
          <w:rFonts w:hint="eastAsia" w:hAnsi="宋体" w:cs="宋体"/>
          <w:szCs w:val="24"/>
        </w:rPr>
        <w:t>(5)、项目投资控制</w:t>
      </w:r>
    </w:p>
    <w:p w14:paraId="2D0476BF">
      <w:pPr>
        <w:pStyle w:val="11"/>
        <w:spacing w:line="400" w:lineRule="exact"/>
        <w:ind w:firstLine="360" w:firstLineChars="150"/>
        <w:rPr>
          <w:rFonts w:hint="eastAsia" w:hAnsi="宋体" w:cs="宋体"/>
          <w:szCs w:val="24"/>
        </w:rPr>
      </w:pPr>
      <w:r>
        <w:rPr>
          <w:rFonts w:hint="eastAsia" w:hAnsi="宋体" w:cs="宋体"/>
          <w:bCs/>
          <w:szCs w:val="24"/>
        </w:rPr>
        <w:t>施工组织设计</w:t>
      </w:r>
      <w:r>
        <w:rPr>
          <w:rFonts w:hint="eastAsia" w:hAnsi="宋体" w:cs="宋体"/>
          <w:szCs w:val="24"/>
        </w:rPr>
        <w:t>(1)各分部分项工程的主要施工方案与技术措施；</w:t>
      </w:r>
    </w:p>
    <w:p w14:paraId="1F4C549B">
      <w:pPr>
        <w:pStyle w:val="11"/>
        <w:spacing w:line="400" w:lineRule="exact"/>
        <w:ind w:firstLine="360" w:firstLineChars="150"/>
        <w:rPr>
          <w:rFonts w:hint="eastAsia" w:hAnsi="宋体" w:cs="宋体"/>
          <w:szCs w:val="24"/>
        </w:rPr>
      </w:pPr>
      <w:r>
        <w:rPr>
          <w:rFonts w:hint="eastAsia" w:hAnsi="宋体" w:cs="宋体"/>
          <w:szCs w:val="24"/>
        </w:rPr>
        <w:t>(2)确保工程质量管理体系与措施；</w:t>
      </w:r>
    </w:p>
    <w:p w14:paraId="4E568245">
      <w:pPr>
        <w:pStyle w:val="11"/>
        <w:spacing w:line="400" w:lineRule="exact"/>
        <w:ind w:firstLine="360" w:firstLineChars="150"/>
        <w:rPr>
          <w:rFonts w:hint="eastAsia" w:hAnsi="宋体" w:cs="宋体"/>
          <w:szCs w:val="24"/>
        </w:rPr>
      </w:pPr>
      <w:r>
        <w:rPr>
          <w:rFonts w:hint="eastAsia" w:hAnsi="宋体" w:cs="宋体"/>
          <w:szCs w:val="24"/>
        </w:rPr>
        <w:t>(3)确保安全生产、文明施工管理体系与措施；</w:t>
      </w:r>
    </w:p>
    <w:p w14:paraId="67D0613D">
      <w:pPr>
        <w:pStyle w:val="11"/>
        <w:spacing w:line="400" w:lineRule="exact"/>
        <w:ind w:firstLine="360" w:firstLineChars="150"/>
        <w:rPr>
          <w:rFonts w:hint="eastAsia" w:hAnsi="宋体" w:cs="宋体"/>
          <w:szCs w:val="24"/>
        </w:rPr>
      </w:pPr>
      <w:r>
        <w:rPr>
          <w:rFonts w:hint="eastAsia" w:hAnsi="宋体" w:cs="宋体"/>
          <w:szCs w:val="24"/>
        </w:rPr>
        <w:t>(4)工程进度计划与措施及施工网络图；</w:t>
      </w:r>
    </w:p>
    <w:p w14:paraId="402F48A3">
      <w:pPr>
        <w:pStyle w:val="11"/>
        <w:spacing w:line="400" w:lineRule="exact"/>
        <w:ind w:firstLine="360" w:firstLineChars="150"/>
        <w:rPr>
          <w:rFonts w:hint="eastAsia" w:hAnsi="宋体" w:cs="宋体"/>
          <w:szCs w:val="24"/>
        </w:rPr>
      </w:pPr>
      <w:r>
        <w:rPr>
          <w:rFonts w:hint="eastAsia" w:hAnsi="宋体" w:cs="宋体"/>
          <w:szCs w:val="24"/>
        </w:rPr>
        <w:t>(5)确保工程进度计划及技术组织措施(附施工进度表或工期网络图)；</w:t>
      </w:r>
    </w:p>
    <w:p w14:paraId="71026922">
      <w:pPr>
        <w:pStyle w:val="11"/>
        <w:spacing w:line="400" w:lineRule="exact"/>
        <w:ind w:firstLine="360" w:firstLineChars="150"/>
        <w:rPr>
          <w:rFonts w:hint="eastAsia" w:hAnsi="宋体" w:cs="宋体"/>
          <w:szCs w:val="24"/>
        </w:rPr>
      </w:pPr>
      <w:r>
        <w:rPr>
          <w:rFonts w:hint="eastAsia" w:hAnsi="宋体" w:cs="宋体"/>
          <w:szCs w:val="24"/>
        </w:rPr>
        <w:t>(6)资源配备计划；</w:t>
      </w:r>
    </w:p>
    <w:p w14:paraId="048827FA">
      <w:pPr>
        <w:pStyle w:val="11"/>
        <w:spacing w:line="400" w:lineRule="exact"/>
        <w:ind w:firstLine="480" w:firstLineChars="200"/>
        <w:rPr>
          <w:rFonts w:hint="eastAsia" w:hAnsi="宋体" w:cs="宋体"/>
          <w:szCs w:val="24"/>
        </w:rPr>
      </w:pPr>
      <w:r>
        <w:rPr>
          <w:rFonts w:hint="eastAsia" w:hAnsi="宋体" w:cs="宋体"/>
          <w:szCs w:val="24"/>
        </w:rPr>
        <w:t>①工程投入的主要物资(材料)情况描述及进场计划(附拟投入的主要施工机械设备表)；</w:t>
      </w:r>
    </w:p>
    <w:p w14:paraId="76726793">
      <w:pPr>
        <w:pStyle w:val="11"/>
        <w:spacing w:line="400" w:lineRule="exact"/>
        <w:ind w:firstLine="480" w:firstLineChars="200"/>
        <w:rPr>
          <w:rFonts w:hint="eastAsia" w:hAnsi="宋体" w:cs="宋体"/>
          <w:szCs w:val="24"/>
        </w:rPr>
      </w:pPr>
      <w:r>
        <w:rPr>
          <w:rFonts w:hint="eastAsia" w:hAnsi="宋体" w:cs="宋体"/>
          <w:szCs w:val="24"/>
        </w:rPr>
        <w:t>②工程投入的主要施工机械设备情况、主要施工机械进场计划；</w:t>
      </w:r>
    </w:p>
    <w:p w14:paraId="1DFC76BA">
      <w:pPr>
        <w:pStyle w:val="11"/>
        <w:spacing w:line="400" w:lineRule="exact"/>
        <w:ind w:firstLine="480" w:firstLineChars="200"/>
        <w:rPr>
          <w:rFonts w:hint="eastAsia" w:hAnsi="宋体" w:cs="宋体"/>
          <w:szCs w:val="24"/>
        </w:rPr>
      </w:pPr>
      <w:r>
        <w:rPr>
          <w:rFonts w:hint="eastAsia" w:hAnsi="宋体" w:cs="宋体"/>
          <w:szCs w:val="24"/>
        </w:rPr>
        <w:t>③劳动力安排计划及劳动力计划表；</w:t>
      </w:r>
    </w:p>
    <w:p w14:paraId="79638F04">
      <w:pPr>
        <w:pStyle w:val="11"/>
        <w:spacing w:line="400" w:lineRule="exact"/>
        <w:ind w:firstLine="480" w:firstLineChars="200"/>
        <w:rPr>
          <w:rFonts w:hint="eastAsia" w:hAnsi="宋体" w:cs="宋体"/>
          <w:szCs w:val="24"/>
        </w:rPr>
      </w:pPr>
      <w:r>
        <w:rPr>
          <w:rFonts w:hint="eastAsia" w:hAnsi="宋体" w:cs="宋体"/>
          <w:szCs w:val="24"/>
        </w:rPr>
        <w:t>(7)施工总平面图及临时用地表（安装类工程项目从实际需要）；</w:t>
      </w:r>
    </w:p>
    <w:p w14:paraId="7B72774C">
      <w:pPr>
        <w:pStyle w:val="11"/>
        <w:spacing w:line="400" w:lineRule="exact"/>
        <w:ind w:firstLine="480" w:firstLineChars="200"/>
        <w:rPr>
          <w:rFonts w:hint="eastAsia" w:hAnsi="宋体" w:cs="宋体"/>
          <w:szCs w:val="24"/>
        </w:rPr>
      </w:pPr>
      <w:r>
        <w:rPr>
          <w:rFonts w:hint="eastAsia" w:hAnsi="宋体" w:cs="宋体"/>
          <w:szCs w:val="24"/>
        </w:rPr>
        <w:t>(8)有必要说明的其他内容。</w:t>
      </w:r>
    </w:p>
    <w:p w14:paraId="71579FB5">
      <w:pPr>
        <w:pStyle w:val="11"/>
        <w:spacing w:line="400" w:lineRule="exact"/>
        <w:ind w:firstLine="480" w:firstLineChars="200"/>
        <w:rPr>
          <w:rFonts w:hint="eastAsia" w:hAnsi="宋体" w:cs="宋体"/>
          <w:szCs w:val="24"/>
        </w:rPr>
      </w:pPr>
      <w:r>
        <w:rPr>
          <w:rFonts w:hint="eastAsia" w:hAnsi="宋体" w:cs="宋体"/>
          <w:szCs w:val="24"/>
        </w:rPr>
        <w:t>12.3技术标二投标文件主要内容：</w:t>
      </w:r>
    </w:p>
    <w:p w14:paraId="4996E1C2">
      <w:pPr>
        <w:pStyle w:val="11"/>
        <w:spacing w:line="400" w:lineRule="exact"/>
        <w:ind w:firstLine="480" w:firstLineChars="200"/>
        <w:rPr>
          <w:rFonts w:hint="eastAsia" w:hAnsi="宋体" w:cs="宋体"/>
          <w:szCs w:val="24"/>
        </w:rPr>
      </w:pPr>
      <w:r>
        <w:rPr>
          <w:rFonts w:hint="eastAsia" w:hAnsi="宋体" w:cs="宋体"/>
          <w:szCs w:val="24"/>
        </w:rPr>
        <w:t>12.3.1法定代表人身份证明书及法人授权委托书。</w:t>
      </w:r>
    </w:p>
    <w:p w14:paraId="3C5FA4D2">
      <w:pPr>
        <w:kinsoku/>
        <w:autoSpaceDE/>
        <w:autoSpaceDN/>
        <w:adjustRightInd/>
        <w:snapToGrid/>
        <w:spacing w:line="400" w:lineRule="exact"/>
        <w:ind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12.3.2资格证明材料：企业法人营业执照、企业资质证书、安全生产许可证。</w:t>
      </w:r>
    </w:p>
    <w:p w14:paraId="3C42E1DC">
      <w:pPr>
        <w:kinsoku/>
        <w:autoSpaceDE/>
        <w:autoSpaceDN/>
        <w:adjustRightInd/>
        <w:snapToGrid/>
        <w:spacing w:line="400" w:lineRule="exact"/>
        <w:ind w:firstLine="240" w:firstLine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企业法人营业执照、企业资质证书、安全生产许可证等证明材料投标人可自主选择提供方式：①使用扫描件上传；②使用全国公共资源交易平台成交记录、国家企业信用信息公示系统企业基本信息、全国建筑市场监管公共服务平台、省电子证照库管理系统等接口获取政务数据。</w:t>
      </w:r>
    </w:p>
    <w:p w14:paraId="6CDF7907">
      <w:pPr>
        <w:kinsoku/>
        <w:autoSpaceDE/>
        <w:autoSpaceDN/>
        <w:adjustRightInd/>
        <w:snapToGrid/>
        <w:spacing w:line="400" w:lineRule="exact"/>
        <w:ind w:firstLine="240" w:firstLine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（2）同一证明材料使用两种方式重复提供时，以扫描件为准。</w:t>
      </w:r>
    </w:p>
    <w:p w14:paraId="54330604">
      <w:pPr>
        <w:kinsoku/>
        <w:autoSpaceDE/>
        <w:autoSpaceDN/>
        <w:adjustRightInd/>
        <w:snapToGrid/>
        <w:spacing w:line="400" w:lineRule="exact"/>
        <w:ind w:firstLine="240" w:firstLine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（3）公共资源交易活动中投标人应当自行核验政务数据的准确性，并对引用的政务数据承担责任。在最终生成投标文件时，投标人应按招标文件要求对投标文件进行电子签章。</w:t>
      </w:r>
    </w:p>
    <w:p w14:paraId="447AA6B0">
      <w:pPr>
        <w:pStyle w:val="11"/>
        <w:spacing w:line="400" w:lineRule="exact"/>
        <w:ind w:firstLine="480" w:firstLineChars="200"/>
        <w:rPr>
          <w:rFonts w:hint="eastAsia" w:hAnsi="宋体" w:cs="宋体"/>
          <w:szCs w:val="24"/>
        </w:rPr>
      </w:pPr>
      <w:r>
        <w:rPr>
          <w:rFonts w:hint="eastAsia" w:hAnsi="宋体" w:cs="宋体"/>
          <w:szCs w:val="24"/>
        </w:rPr>
        <w:t>12.3.3项目管理机构配备情况</w:t>
      </w:r>
    </w:p>
    <w:p w14:paraId="3059829C">
      <w:pPr>
        <w:pStyle w:val="11"/>
        <w:spacing w:line="400" w:lineRule="exact"/>
        <w:ind w:firstLine="360" w:firstLineChars="150"/>
        <w:rPr>
          <w:rFonts w:hint="eastAsia" w:hAnsi="宋体" w:cs="宋体"/>
          <w:szCs w:val="24"/>
        </w:rPr>
      </w:pPr>
      <w:r>
        <w:rPr>
          <w:rFonts w:hint="eastAsia" w:hAnsi="宋体" w:cs="宋体"/>
          <w:szCs w:val="24"/>
        </w:rPr>
        <w:t>(1)项目管理机构配备情况表及特殊说明资料（招标人特别要求的）；</w:t>
      </w:r>
    </w:p>
    <w:p w14:paraId="74F457E3">
      <w:pPr>
        <w:pStyle w:val="11"/>
        <w:spacing w:line="400" w:lineRule="exact"/>
        <w:ind w:firstLine="360" w:firstLineChars="150"/>
        <w:rPr>
          <w:rFonts w:hint="eastAsia" w:hAnsi="宋体" w:cs="宋体"/>
          <w:szCs w:val="24"/>
        </w:rPr>
      </w:pPr>
      <w:r>
        <w:rPr>
          <w:rFonts w:hint="eastAsia" w:hAnsi="宋体" w:cs="宋体"/>
          <w:szCs w:val="24"/>
        </w:rPr>
        <w:t>(2)项目经理（建造师）注册证书、简历表、业绩表及证明材料（资格后审的项目，应放在资格后审文件或投标文件中；</w:t>
      </w:r>
    </w:p>
    <w:p w14:paraId="5CDC88AA">
      <w:pPr>
        <w:pStyle w:val="11"/>
        <w:spacing w:line="400" w:lineRule="exact"/>
        <w:ind w:firstLine="360" w:firstLineChars="150"/>
        <w:rPr>
          <w:rFonts w:hint="eastAsia" w:hAnsi="宋体" w:cs="宋体"/>
          <w:szCs w:val="24"/>
        </w:rPr>
      </w:pPr>
      <w:r>
        <w:rPr>
          <w:rFonts w:hint="eastAsia" w:hAnsi="宋体" w:cs="宋体"/>
          <w:szCs w:val="24"/>
        </w:rPr>
        <w:t>(3)项目技术负责人证书、简历表、业绩表（资格后审的项目，应放在资格后审文件或投标文件中）；</w:t>
      </w:r>
    </w:p>
    <w:p w14:paraId="1373BC80">
      <w:pPr>
        <w:pStyle w:val="11"/>
        <w:spacing w:line="400" w:lineRule="exact"/>
        <w:ind w:firstLine="360" w:firstLineChars="150"/>
        <w:rPr>
          <w:rFonts w:hint="eastAsia" w:hAnsi="宋体" w:cs="宋体"/>
          <w:szCs w:val="24"/>
        </w:rPr>
      </w:pPr>
      <w:r>
        <w:rPr>
          <w:rFonts w:hint="eastAsia" w:hAnsi="宋体" w:cs="宋体"/>
          <w:szCs w:val="24"/>
        </w:rPr>
        <w:t>(4)项目管理班子人员履历表（资格后审的项目，应放在资格后审文件或投标文件中）。</w:t>
      </w:r>
    </w:p>
    <w:p w14:paraId="5A132CB3">
      <w:pPr>
        <w:pStyle w:val="11"/>
        <w:spacing w:line="400" w:lineRule="exact"/>
        <w:ind w:firstLine="480" w:firstLineChars="200"/>
        <w:rPr>
          <w:rFonts w:hint="eastAsia" w:hAnsi="宋体" w:cs="宋体"/>
          <w:szCs w:val="24"/>
        </w:rPr>
      </w:pPr>
      <w:r>
        <w:rPr>
          <w:rFonts w:hint="eastAsia" w:hAnsi="宋体" w:cs="宋体"/>
          <w:szCs w:val="24"/>
        </w:rPr>
        <w:t>12.3.4拟分包情况表。</w:t>
      </w:r>
    </w:p>
    <w:p w14:paraId="2CA6C3B1">
      <w:pPr>
        <w:pStyle w:val="11"/>
        <w:spacing w:line="400" w:lineRule="exact"/>
        <w:ind w:firstLine="480" w:firstLineChars="200"/>
        <w:rPr>
          <w:rFonts w:hint="eastAsia" w:hAnsi="宋体" w:cs="宋体"/>
          <w:szCs w:val="24"/>
        </w:rPr>
      </w:pPr>
      <w:r>
        <w:rPr>
          <w:rFonts w:hint="eastAsia" w:hAnsi="宋体" w:cs="宋体"/>
          <w:szCs w:val="24"/>
        </w:rPr>
        <w:t>12.3.5投标人的业绩材料和投标人认为需要提供的其他资料。</w:t>
      </w:r>
    </w:p>
    <w:p w14:paraId="14AE3006">
      <w:pPr>
        <w:pStyle w:val="11"/>
        <w:spacing w:line="400" w:lineRule="exact"/>
        <w:ind w:firstLine="480" w:firstLineChars="200"/>
        <w:rPr>
          <w:rFonts w:hint="eastAsia" w:hAnsi="宋体" w:cs="宋体"/>
          <w:szCs w:val="24"/>
        </w:rPr>
      </w:pPr>
      <w:r>
        <w:rPr>
          <w:rFonts w:hint="eastAsia" w:hAnsi="宋体" w:cs="宋体"/>
          <w:szCs w:val="24"/>
        </w:rPr>
        <w:t>12.4商务标投标文件主要内容：</w:t>
      </w:r>
    </w:p>
    <w:p w14:paraId="79751E08">
      <w:pPr>
        <w:pStyle w:val="11"/>
        <w:spacing w:line="400" w:lineRule="exact"/>
        <w:ind w:firstLine="480" w:firstLineChars="200"/>
        <w:rPr>
          <w:rFonts w:hint="eastAsia" w:hAnsi="宋体" w:cs="宋体"/>
          <w:szCs w:val="24"/>
        </w:rPr>
      </w:pPr>
      <w:r>
        <w:rPr>
          <w:rFonts w:hint="eastAsia" w:hAnsi="宋体" w:cs="宋体"/>
          <w:szCs w:val="24"/>
        </w:rPr>
        <w:t>12.4.1投标报价</w:t>
      </w:r>
    </w:p>
    <w:p w14:paraId="1D0E2087">
      <w:pPr>
        <w:pStyle w:val="11"/>
        <w:spacing w:line="400" w:lineRule="exact"/>
        <w:ind w:firstLine="360" w:firstLineChars="150"/>
        <w:rPr>
          <w:rFonts w:hint="eastAsia" w:hAnsi="宋体" w:cs="宋体"/>
          <w:szCs w:val="24"/>
        </w:rPr>
      </w:pPr>
      <w:r>
        <w:rPr>
          <w:rFonts w:hint="eastAsia" w:hAnsi="宋体" w:cs="宋体"/>
          <w:szCs w:val="24"/>
        </w:rPr>
        <w:t>(1)投标函；</w:t>
      </w:r>
    </w:p>
    <w:p w14:paraId="4202AC31">
      <w:pPr>
        <w:pStyle w:val="11"/>
        <w:spacing w:line="400" w:lineRule="exact"/>
        <w:ind w:firstLine="360" w:firstLineChars="150"/>
        <w:rPr>
          <w:rFonts w:hint="eastAsia" w:hAnsi="宋体" w:cs="宋体"/>
          <w:szCs w:val="24"/>
        </w:rPr>
      </w:pPr>
      <w:r>
        <w:rPr>
          <w:rFonts w:hint="eastAsia" w:hAnsi="宋体" w:cs="宋体"/>
          <w:szCs w:val="24"/>
        </w:rPr>
        <w:t>(2)承诺函；</w:t>
      </w:r>
    </w:p>
    <w:p w14:paraId="7B94A2C6">
      <w:pPr>
        <w:pStyle w:val="11"/>
        <w:spacing w:line="400" w:lineRule="exact"/>
        <w:ind w:firstLine="360" w:firstLineChars="150"/>
        <w:rPr>
          <w:rFonts w:hint="eastAsia" w:hAnsi="宋体" w:cs="宋体"/>
          <w:szCs w:val="24"/>
        </w:rPr>
      </w:pPr>
      <w:r>
        <w:rPr>
          <w:rFonts w:hint="eastAsia" w:hAnsi="宋体" w:cs="宋体"/>
          <w:szCs w:val="24"/>
        </w:rPr>
        <w:t>(3)工程量清单报价书。</w:t>
      </w:r>
    </w:p>
    <w:p w14:paraId="10357101">
      <w:pPr>
        <w:pStyle w:val="11"/>
        <w:spacing w:line="400" w:lineRule="exact"/>
        <w:ind w:firstLine="480" w:firstLineChars="200"/>
        <w:rPr>
          <w:rFonts w:hint="eastAsia" w:hAnsi="宋体" w:cs="宋体"/>
          <w:szCs w:val="24"/>
        </w:rPr>
      </w:pPr>
      <w:r>
        <w:rPr>
          <w:rFonts w:hint="eastAsia" w:hAnsi="宋体" w:cs="宋体"/>
          <w:szCs w:val="24"/>
        </w:rPr>
        <w:t>12.4.2工程量清单报价书应包括以下内容：</w:t>
      </w:r>
    </w:p>
    <w:p w14:paraId="6D3CFC91">
      <w:pPr>
        <w:pStyle w:val="11"/>
        <w:spacing w:line="400" w:lineRule="exact"/>
        <w:ind w:firstLine="360" w:firstLineChars="150"/>
        <w:rPr>
          <w:rFonts w:hint="eastAsia" w:hAnsi="宋体" w:cs="宋体"/>
          <w:szCs w:val="24"/>
        </w:rPr>
      </w:pPr>
      <w:r>
        <w:rPr>
          <w:rFonts w:hint="eastAsia" w:hAnsi="宋体" w:cs="宋体"/>
          <w:szCs w:val="24"/>
        </w:rPr>
        <w:t>(1)投标总价封面；</w:t>
      </w:r>
    </w:p>
    <w:p w14:paraId="57B23246">
      <w:pPr>
        <w:pStyle w:val="11"/>
        <w:spacing w:line="400" w:lineRule="exact"/>
        <w:ind w:firstLine="360" w:firstLineChars="150"/>
        <w:rPr>
          <w:rFonts w:hint="eastAsia" w:hAnsi="宋体" w:cs="宋体"/>
          <w:szCs w:val="24"/>
        </w:rPr>
      </w:pPr>
      <w:r>
        <w:rPr>
          <w:rFonts w:hint="eastAsia" w:hAnsi="宋体" w:cs="宋体"/>
          <w:szCs w:val="24"/>
        </w:rPr>
        <w:t>(2)投标总价扉页；</w:t>
      </w:r>
    </w:p>
    <w:p w14:paraId="6A3F7AF9">
      <w:pPr>
        <w:pStyle w:val="11"/>
        <w:spacing w:line="400" w:lineRule="exact"/>
        <w:ind w:firstLine="360" w:firstLineChars="150"/>
        <w:rPr>
          <w:rFonts w:hint="eastAsia" w:hAnsi="宋体" w:cs="宋体"/>
          <w:szCs w:val="24"/>
        </w:rPr>
      </w:pPr>
      <w:r>
        <w:rPr>
          <w:rFonts w:hint="eastAsia" w:hAnsi="宋体" w:cs="宋体"/>
          <w:szCs w:val="24"/>
        </w:rPr>
        <w:t>(3)总说明；</w:t>
      </w:r>
    </w:p>
    <w:p w14:paraId="205D909B">
      <w:pPr>
        <w:pStyle w:val="11"/>
        <w:spacing w:line="400" w:lineRule="exact"/>
        <w:ind w:firstLine="360" w:firstLineChars="150"/>
        <w:rPr>
          <w:rFonts w:hint="eastAsia" w:hAnsi="宋体" w:cs="宋体"/>
          <w:szCs w:val="24"/>
        </w:rPr>
      </w:pPr>
      <w:r>
        <w:rPr>
          <w:rFonts w:hint="eastAsia" w:hAnsi="宋体" w:cs="宋体"/>
          <w:szCs w:val="24"/>
        </w:rPr>
        <w:t>(4)建设项目投标报价汇总表；</w:t>
      </w:r>
    </w:p>
    <w:p w14:paraId="40813E3C">
      <w:pPr>
        <w:pStyle w:val="11"/>
        <w:spacing w:line="400" w:lineRule="exact"/>
        <w:ind w:firstLine="360" w:firstLineChars="150"/>
        <w:rPr>
          <w:rFonts w:hint="eastAsia" w:hAnsi="宋体" w:cs="宋体"/>
          <w:szCs w:val="24"/>
        </w:rPr>
      </w:pPr>
      <w:r>
        <w:rPr>
          <w:rFonts w:hint="eastAsia" w:hAnsi="宋体" w:cs="宋体"/>
          <w:szCs w:val="24"/>
        </w:rPr>
        <w:t>(5)单项工程投标报价汇总表；</w:t>
      </w:r>
    </w:p>
    <w:p w14:paraId="393D58EB">
      <w:pPr>
        <w:pStyle w:val="11"/>
        <w:spacing w:line="400" w:lineRule="exact"/>
        <w:ind w:firstLine="360" w:firstLineChars="150"/>
        <w:rPr>
          <w:rFonts w:hint="eastAsia" w:hAnsi="宋体" w:cs="宋体"/>
          <w:szCs w:val="24"/>
        </w:rPr>
      </w:pPr>
      <w:r>
        <w:rPr>
          <w:rFonts w:hint="eastAsia" w:hAnsi="宋体" w:cs="宋体"/>
          <w:szCs w:val="24"/>
        </w:rPr>
        <w:t>(6)单位工程投标报价汇总表；</w:t>
      </w:r>
    </w:p>
    <w:p w14:paraId="0188F00A">
      <w:pPr>
        <w:pStyle w:val="11"/>
        <w:spacing w:line="400" w:lineRule="exact"/>
        <w:ind w:firstLine="360" w:firstLineChars="150"/>
        <w:rPr>
          <w:rFonts w:hint="eastAsia" w:hAnsi="宋体" w:cs="宋体"/>
          <w:szCs w:val="24"/>
        </w:rPr>
      </w:pPr>
      <w:r>
        <w:rPr>
          <w:rFonts w:hint="eastAsia" w:hAnsi="宋体" w:cs="宋体"/>
          <w:szCs w:val="24"/>
        </w:rPr>
        <w:t>(7)分部分项工程量清单计价表；</w:t>
      </w:r>
    </w:p>
    <w:p w14:paraId="7D6D59BD">
      <w:pPr>
        <w:pStyle w:val="11"/>
        <w:spacing w:line="400" w:lineRule="exact"/>
        <w:ind w:firstLine="360" w:firstLineChars="150"/>
        <w:rPr>
          <w:rFonts w:hint="eastAsia" w:hAnsi="宋体" w:cs="宋体"/>
          <w:szCs w:val="24"/>
        </w:rPr>
      </w:pPr>
      <w:r>
        <w:rPr>
          <w:rFonts w:hint="eastAsia" w:hAnsi="宋体" w:cs="宋体"/>
          <w:szCs w:val="24"/>
        </w:rPr>
        <w:t>(8)措施项目清单与计价表；</w:t>
      </w:r>
    </w:p>
    <w:p w14:paraId="6718AB02">
      <w:pPr>
        <w:pStyle w:val="11"/>
        <w:spacing w:line="400" w:lineRule="exact"/>
        <w:ind w:firstLine="360" w:firstLineChars="150"/>
        <w:rPr>
          <w:rFonts w:hint="eastAsia" w:hAnsi="宋体" w:cs="宋体"/>
          <w:szCs w:val="24"/>
        </w:rPr>
      </w:pPr>
      <w:r>
        <w:rPr>
          <w:rFonts w:hint="eastAsia" w:hAnsi="宋体" w:cs="宋体"/>
          <w:szCs w:val="24"/>
        </w:rPr>
        <w:t>(9)不可竞争项目清单与计价表；</w:t>
      </w:r>
    </w:p>
    <w:p w14:paraId="38656124">
      <w:pPr>
        <w:pStyle w:val="11"/>
        <w:spacing w:line="400" w:lineRule="exact"/>
        <w:ind w:firstLine="360" w:firstLineChars="150"/>
        <w:rPr>
          <w:rFonts w:hint="eastAsia" w:hAnsi="宋体" w:cs="宋体"/>
          <w:szCs w:val="24"/>
        </w:rPr>
      </w:pPr>
      <w:r>
        <w:rPr>
          <w:rFonts w:hint="eastAsia" w:hAnsi="宋体" w:cs="宋体"/>
          <w:szCs w:val="24"/>
        </w:rPr>
        <w:t>(10)其他项目清单与计价表；</w:t>
      </w:r>
    </w:p>
    <w:p w14:paraId="244C6DC2">
      <w:pPr>
        <w:pStyle w:val="11"/>
        <w:spacing w:line="400" w:lineRule="exact"/>
        <w:ind w:firstLine="360" w:firstLineChars="150"/>
        <w:rPr>
          <w:rFonts w:hint="eastAsia" w:hAnsi="宋体" w:cs="宋体"/>
          <w:szCs w:val="24"/>
        </w:rPr>
      </w:pPr>
      <w:r>
        <w:rPr>
          <w:rFonts w:hint="eastAsia" w:hAnsi="宋体" w:cs="宋体"/>
          <w:szCs w:val="24"/>
        </w:rPr>
        <w:t>(11)暂列金额明细表；</w:t>
      </w:r>
    </w:p>
    <w:p w14:paraId="231B707D">
      <w:pPr>
        <w:pStyle w:val="11"/>
        <w:spacing w:line="400" w:lineRule="exact"/>
        <w:ind w:firstLine="360" w:firstLineChars="150"/>
        <w:rPr>
          <w:rFonts w:hint="eastAsia" w:hAnsi="宋体" w:cs="宋体"/>
          <w:szCs w:val="24"/>
        </w:rPr>
      </w:pPr>
      <w:r>
        <w:rPr>
          <w:rFonts w:hint="eastAsia" w:hAnsi="宋体" w:cs="宋体"/>
          <w:szCs w:val="24"/>
        </w:rPr>
        <w:t>(12)专业工程暂估价计价表；</w:t>
      </w:r>
    </w:p>
    <w:p w14:paraId="6EB72A0C">
      <w:pPr>
        <w:pStyle w:val="11"/>
        <w:spacing w:line="400" w:lineRule="exact"/>
        <w:ind w:firstLine="360" w:firstLineChars="150"/>
        <w:rPr>
          <w:rFonts w:hint="eastAsia" w:hAnsi="宋体" w:cs="宋体"/>
          <w:szCs w:val="24"/>
        </w:rPr>
      </w:pPr>
      <w:r>
        <w:rPr>
          <w:rFonts w:hint="eastAsia" w:hAnsi="宋体" w:cs="宋体"/>
          <w:szCs w:val="24"/>
        </w:rPr>
        <w:t>(13)计日工表；</w:t>
      </w:r>
    </w:p>
    <w:p w14:paraId="03D508DF">
      <w:pPr>
        <w:pStyle w:val="11"/>
        <w:spacing w:line="400" w:lineRule="exact"/>
        <w:ind w:firstLine="360" w:firstLineChars="150"/>
        <w:rPr>
          <w:rFonts w:hint="eastAsia" w:hAnsi="宋体" w:cs="宋体"/>
          <w:szCs w:val="24"/>
        </w:rPr>
      </w:pPr>
      <w:r>
        <w:rPr>
          <w:rFonts w:hint="eastAsia" w:hAnsi="宋体" w:cs="宋体"/>
          <w:szCs w:val="24"/>
        </w:rPr>
        <w:t>(14)总承包服务费计价表；</w:t>
      </w:r>
    </w:p>
    <w:p w14:paraId="1EC205E4">
      <w:pPr>
        <w:pStyle w:val="11"/>
        <w:spacing w:line="400" w:lineRule="exact"/>
        <w:ind w:firstLine="360" w:firstLineChars="150"/>
        <w:rPr>
          <w:rFonts w:hint="eastAsia" w:hAnsi="宋体" w:cs="宋体"/>
          <w:szCs w:val="24"/>
        </w:rPr>
      </w:pPr>
      <w:r>
        <w:rPr>
          <w:rFonts w:hint="eastAsia" w:hAnsi="宋体" w:cs="宋体"/>
          <w:szCs w:val="24"/>
        </w:rPr>
        <w:t>(15)税金计价表；</w:t>
      </w:r>
    </w:p>
    <w:p w14:paraId="1468BC1F">
      <w:pPr>
        <w:pStyle w:val="11"/>
        <w:spacing w:line="400" w:lineRule="exact"/>
        <w:ind w:firstLine="360" w:firstLineChars="150"/>
        <w:rPr>
          <w:rFonts w:hint="eastAsia" w:hAnsi="宋体" w:cs="宋体"/>
          <w:szCs w:val="24"/>
        </w:rPr>
      </w:pPr>
      <w:r>
        <w:rPr>
          <w:rFonts w:hint="eastAsia" w:hAnsi="宋体" w:cs="宋体"/>
          <w:szCs w:val="24"/>
        </w:rPr>
        <w:t>(16)承包人提供材料（工程设备）一览表；</w:t>
      </w:r>
    </w:p>
    <w:p w14:paraId="11059EE5">
      <w:pPr>
        <w:pStyle w:val="11"/>
        <w:spacing w:line="400" w:lineRule="exact"/>
        <w:ind w:firstLine="360" w:firstLineChars="150"/>
        <w:rPr>
          <w:rFonts w:hint="eastAsia" w:hAnsi="宋体" w:cs="宋体"/>
          <w:szCs w:val="24"/>
        </w:rPr>
      </w:pPr>
      <w:r>
        <w:rPr>
          <w:rFonts w:hint="eastAsia" w:hAnsi="宋体" w:cs="宋体"/>
          <w:szCs w:val="24"/>
        </w:rPr>
        <w:t>(17)分部分项工程量清单综合单价分析表；</w:t>
      </w:r>
    </w:p>
    <w:p w14:paraId="1FAD826C">
      <w:pPr>
        <w:pStyle w:val="11"/>
        <w:spacing w:line="400" w:lineRule="exact"/>
        <w:ind w:firstLine="360" w:firstLineChars="150"/>
        <w:rPr>
          <w:rFonts w:hint="eastAsia" w:hAnsi="宋体" w:cs="宋体"/>
          <w:szCs w:val="24"/>
        </w:rPr>
      </w:pPr>
      <w:r>
        <w:rPr>
          <w:rFonts w:hint="eastAsia" w:hAnsi="宋体" w:cs="宋体"/>
          <w:szCs w:val="24"/>
        </w:rPr>
        <w:t>(18)投标报价需要的其他资料。</w:t>
      </w:r>
    </w:p>
    <w:p w14:paraId="5E712ACC">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12.5技术标一投标文件、技术标二投标文件中均不得出现商务标报价或相关报价信息，否则作废标处理。</w:t>
      </w:r>
    </w:p>
    <w:p w14:paraId="3683AB7A">
      <w:pPr>
        <w:pStyle w:val="11"/>
        <w:spacing w:line="400" w:lineRule="exact"/>
        <w:rPr>
          <w:rFonts w:hint="eastAsia" w:hAnsi="宋体" w:cs="宋体"/>
          <w:szCs w:val="24"/>
        </w:rPr>
      </w:pPr>
      <w:r>
        <w:rPr>
          <w:rFonts w:hint="eastAsia" w:hAnsi="宋体" w:cs="宋体"/>
          <w:szCs w:val="24"/>
        </w:rPr>
        <w:t>13、投标文件格式</w:t>
      </w:r>
    </w:p>
    <w:p w14:paraId="74563937">
      <w:pPr>
        <w:pStyle w:val="11"/>
        <w:spacing w:line="400" w:lineRule="exact"/>
        <w:ind w:firstLine="480" w:firstLineChars="200"/>
        <w:rPr>
          <w:rFonts w:hint="eastAsia" w:hAnsi="宋体" w:cs="宋体"/>
          <w:szCs w:val="24"/>
        </w:rPr>
      </w:pPr>
      <w:r>
        <w:rPr>
          <w:rFonts w:hint="eastAsia" w:hAnsi="宋体" w:cs="宋体"/>
          <w:szCs w:val="24"/>
        </w:rPr>
        <w:t>13.1投标人须分别编制技术标一投标文件、技术标二投标文件、商务标投标文件。</w:t>
      </w:r>
    </w:p>
    <w:p w14:paraId="2ADDE147">
      <w:pPr>
        <w:pStyle w:val="11"/>
        <w:spacing w:line="400" w:lineRule="exact"/>
        <w:ind w:firstLine="480" w:firstLineChars="200"/>
        <w:rPr>
          <w:rFonts w:hint="eastAsia" w:hAnsi="宋体" w:cs="宋体"/>
          <w:szCs w:val="24"/>
        </w:rPr>
      </w:pPr>
      <w:r>
        <w:rPr>
          <w:rFonts w:hint="eastAsia" w:hAnsi="宋体" w:cs="宋体"/>
          <w:szCs w:val="24"/>
        </w:rPr>
        <w:t>13.2投标文件包括本须知第12条中规定的内容，投标人提交的投标文件应当使用招标文件所提供的投标文件全部格式编制投标文件，但表格可以按同样格式扩展。</w:t>
      </w:r>
    </w:p>
    <w:p w14:paraId="1D1822A8">
      <w:pPr>
        <w:pStyle w:val="11"/>
        <w:spacing w:line="400" w:lineRule="exact"/>
        <w:rPr>
          <w:rFonts w:hint="eastAsia" w:hAnsi="宋体" w:cs="宋体"/>
          <w:szCs w:val="24"/>
        </w:rPr>
      </w:pPr>
      <w:r>
        <w:rPr>
          <w:rFonts w:hint="eastAsia" w:hAnsi="宋体" w:cs="宋体"/>
          <w:szCs w:val="24"/>
        </w:rPr>
        <w:t>14、投标报价</w:t>
      </w:r>
    </w:p>
    <w:p w14:paraId="41F653E8">
      <w:pPr>
        <w:pStyle w:val="11"/>
        <w:spacing w:line="400" w:lineRule="exact"/>
        <w:ind w:firstLine="480" w:firstLineChars="200"/>
        <w:rPr>
          <w:rFonts w:hint="eastAsia" w:hAnsi="宋体" w:cs="宋体"/>
          <w:bCs/>
          <w:szCs w:val="24"/>
        </w:rPr>
      </w:pPr>
      <w:r>
        <w:rPr>
          <w:rFonts w:hint="eastAsia" w:hAnsi="宋体" w:cs="宋体"/>
          <w:szCs w:val="24"/>
        </w:rPr>
        <w:t>14.1投标人应仔细阅读招标文件，了解拟投标项目的全部工程内容。</w:t>
      </w:r>
      <w:r>
        <w:rPr>
          <w:rFonts w:hint="eastAsia" w:hAnsi="宋体" w:cs="宋体"/>
          <w:bCs/>
          <w:szCs w:val="24"/>
        </w:rPr>
        <w:t>投标人的投标报价应是招标文件所确定的招标范围内全部工程内容的价格体现，但其投标报价不得低于投标人个别成本价。投标人的投标报价，应是在满足招标文件规定工期、质量要求下，完成投标须知前附表第5、6条和合同条款上所列招标工程范围的全部工作的报价。</w:t>
      </w:r>
    </w:p>
    <w:p w14:paraId="21FDD30F">
      <w:pPr>
        <w:pStyle w:val="11"/>
        <w:spacing w:line="400" w:lineRule="exact"/>
        <w:ind w:firstLine="480" w:firstLineChars="200"/>
        <w:rPr>
          <w:rFonts w:hint="eastAsia" w:hAnsi="宋体" w:cs="宋体"/>
          <w:bCs/>
          <w:szCs w:val="24"/>
        </w:rPr>
      </w:pPr>
      <w:r>
        <w:rPr>
          <w:rFonts w:hint="eastAsia" w:hAnsi="宋体" w:cs="宋体"/>
          <w:bCs/>
          <w:szCs w:val="24"/>
        </w:rPr>
        <w:t>14.2投标人应根据当前建筑市场行情，结合工程实际情况及本单位的施工方法、材料来源渠道、施工机械装备、施工管理水平等，对投标费用进行分析、测算，实事求是地确定投标报价（不得低于成本价），任何投标优惠都体现在报价内。招标人不要求投标人采用总价优惠或以总价百分比优惠的方式进行投标报价，其优惠应直接体现在各项投标报价的综合单价中。投标人不得以自有机械闲置、自有材料为由等不计成本地进行投标报价。</w:t>
      </w:r>
    </w:p>
    <w:p w14:paraId="2196AFE2">
      <w:pPr>
        <w:pStyle w:val="11"/>
        <w:spacing w:line="400" w:lineRule="exact"/>
        <w:ind w:firstLine="480" w:firstLineChars="200"/>
        <w:rPr>
          <w:rFonts w:hint="eastAsia" w:hAnsi="宋体" w:cs="宋体"/>
          <w:szCs w:val="24"/>
        </w:rPr>
      </w:pPr>
      <w:r>
        <w:rPr>
          <w:rFonts w:hint="eastAsia" w:hAnsi="宋体" w:cs="宋体"/>
          <w:szCs w:val="24"/>
        </w:rPr>
        <w:t>14.3本工程的投标报价采用投标须知前附表规定的方式。综合单价是指完成本工程项目的除措施项目费、不可竞争费、其他项目费、税金外的全费用单价，其组成包括人工费、材料费、机械费、综合费和施工工期内的风险费用。</w:t>
      </w:r>
    </w:p>
    <w:p w14:paraId="2CE624E1">
      <w:pPr>
        <w:pStyle w:val="11"/>
        <w:spacing w:line="400" w:lineRule="exact"/>
        <w:ind w:firstLine="480" w:firstLineChars="200"/>
        <w:rPr>
          <w:rFonts w:hint="eastAsia" w:hAnsi="宋体" w:cs="宋体"/>
          <w:bCs/>
          <w:szCs w:val="24"/>
        </w:rPr>
      </w:pPr>
      <w:r>
        <w:rPr>
          <w:rFonts w:hint="eastAsia" w:hAnsi="宋体" w:cs="宋体"/>
          <w:szCs w:val="24"/>
        </w:rPr>
        <w:t>14.4</w:t>
      </w:r>
      <w:r>
        <w:rPr>
          <w:rFonts w:hint="eastAsia" w:hAnsi="宋体" w:cs="宋体"/>
          <w:bCs/>
          <w:szCs w:val="24"/>
        </w:rPr>
        <w:t>投标报价编制依据</w:t>
      </w:r>
    </w:p>
    <w:p w14:paraId="142192EC">
      <w:pPr>
        <w:pStyle w:val="11"/>
        <w:spacing w:line="400" w:lineRule="exact"/>
        <w:ind w:firstLine="480" w:firstLineChars="200"/>
        <w:rPr>
          <w:rFonts w:hint="eastAsia" w:hAnsi="宋体" w:cs="宋体"/>
          <w:szCs w:val="24"/>
        </w:rPr>
      </w:pPr>
      <w:r>
        <w:rPr>
          <w:rFonts w:hint="eastAsia" w:hAnsi="宋体" w:cs="宋体"/>
          <w:szCs w:val="24"/>
        </w:rPr>
        <w:t>14.4.1招标文件；</w:t>
      </w:r>
    </w:p>
    <w:p w14:paraId="670E30A3">
      <w:pPr>
        <w:pStyle w:val="11"/>
        <w:spacing w:line="400" w:lineRule="exact"/>
        <w:ind w:firstLine="480" w:firstLineChars="200"/>
        <w:rPr>
          <w:rFonts w:hint="eastAsia" w:hAnsi="宋体" w:cs="宋体"/>
          <w:szCs w:val="24"/>
        </w:rPr>
      </w:pPr>
      <w:r>
        <w:rPr>
          <w:rFonts w:hint="eastAsia" w:hAnsi="宋体" w:cs="宋体"/>
          <w:szCs w:val="24"/>
        </w:rPr>
        <w:t>14.4.2设计图纸；</w:t>
      </w:r>
    </w:p>
    <w:p w14:paraId="266CD34E">
      <w:pPr>
        <w:pStyle w:val="11"/>
        <w:spacing w:line="400" w:lineRule="exact"/>
        <w:ind w:firstLine="480" w:firstLineChars="200"/>
        <w:rPr>
          <w:rFonts w:hint="eastAsia" w:hAnsi="宋体" w:cs="宋体"/>
          <w:szCs w:val="24"/>
        </w:rPr>
      </w:pPr>
      <w:r>
        <w:rPr>
          <w:rFonts w:hint="eastAsia" w:hAnsi="宋体" w:cs="宋体"/>
          <w:szCs w:val="24"/>
        </w:rPr>
        <w:t>14.4.3工程量清单；</w:t>
      </w:r>
    </w:p>
    <w:p w14:paraId="37F31501">
      <w:pPr>
        <w:pStyle w:val="11"/>
        <w:spacing w:line="400" w:lineRule="exact"/>
        <w:ind w:firstLine="480" w:firstLineChars="200"/>
        <w:rPr>
          <w:rFonts w:hint="eastAsia" w:hAnsi="宋体" w:cs="宋体"/>
          <w:szCs w:val="24"/>
        </w:rPr>
      </w:pPr>
      <w:r>
        <w:rPr>
          <w:rFonts w:hint="eastAsia" w:hAnsi="宋体" w:cs="宋体"/>
          <w:szCs w:val="24"/>
        </w:rPr>
        <w:t>14.4.4澄清答疑、补充文件、修改纪要中提出的工程技术、质量、工期、承包范围、工器具及设备清单；</w:t>
      </w:r>
    </w:p>
    <w:p w14:paraId="03798DA6">
      <w:pPr>
        <w:pStyle w:val="11"/>
        <w:spacing w:line="400" w:lineRule="exact"/>
        <w:ind w:firstLine="480" w:firstLineChars="200"/>
        <w:rPr>
          <w:rFonts w:hint="eastAsia" w:hAnsi="宋体" w:cs="宋体"/>
          <w:szCs w:val="24"/>
        </w:rPr>
      </w:pPr>
      <w:r>
        <w:rPr>
          <w:rFonts w:hint="eastAsia" w:hAnsi="宋体" w:cs="宋体"/>
          <w:szCs w:val="24"/>
        </w:rPr>
        <w:t>14.4.5施工组织设计及施工方案；</w:t>
      </w:r>
    </w:p>
    <w:p w14:paraId="693BDB50">
      <w:pPr>
        <w:pStyle w:val="11"/>
        <w:spacing w:line="400" w:lineRule="exact"/>
        <w:ind w:firstLine="480" w:firstLineChars="200"/>
        <w:rPr>
          <w:rFonts w:hint="eastAsia" w:hAnsi="宋体" w:cs="宋体"/>
          <w:szCs w:val="24"/>
        </w:rPr>
      </w:pPr>
      <w:r>
        <w:rPr>
          <w:rFonts w:hint="eastAsia" w:hAnsi="宋体" w:cs="宋体"/>
          <w:szCs w:val="24"/>
        </w:rPr>
        <w:t>14.4.6质量验收规范等国家、行业、地方有关技术标准、规范；</w:t>
      </w:r>
    </w:p>
    <w:p w14:paraId="38598D3D">
      <w:pPr>
        <w:pStyle w:val="11"/>
        <w:spacing w:line="400" w:lineRule="exact"/>
        <w:ind w:firstLine="480" w:firstLineChars="200"/>
        <w:rPr>
          <w:rFonts w:hint="eastAsia" w:hAnsi="宋体" w:cs="宋体"/>
          <w:szCs w:val="24"/>
        </w:rPr>
      </w:pPr>
      <w:r>
        <w:rPr>
          <w:rFonts w:hint="eastAsia" w:hAnsi="宋体" w:cs="宋体"/>
          <w:szCs w:val="24"/>
        </w:rPr>
        <w:t>14.4.72018版《安徽省建设工程工程量清单计价办法》及其配套计价依据；</w:t>
      </w:r>
    </w:p>
    <w:p w14:paraId="5E8C3CB1">
      <w:pPr>
        <w:pStyle w:val="11"/>
        <w:spacing w:line="400" w:lineRule="exact"/>
        <w:ind w:firstLine="480" w:firstLineChars="200"/>
        <w:rPr>
          <w:rFonts w:hint="eastAsia" w:hAnsi="宋体" w:cs="宋体"/>
          <w:szCs w:val="24"/>
        </w:rPr>
      </w:pPr>
      <w:r>
        <w:rPr>
          <w:rFonts w:hint="eastAsia" w:hAnsi="宋体" w:cs="宋体"/>
          <w:szCs w:val="24"/>
        </w:rPr>
        <w:t>14.4.8本工程涉及的人工、材料、机械台班的市场价格；</w:t>
      </w:r>
    </w:p>
    <w:p w14:paraId="450142D8">
      <w:pPr>
        <w:pStyle w:val="11"/>
        <w:spacing w:line="400" w:lineRule="exact"/>
        <w:ind w:firstLine="480" w:firstLineChars="200"/>
        <w:rPr>
          <w:rFonts w:hint="eastAsia" w:hAnsi="宋体" w:cs="宋体"/>
          <w:szCs w:val="24"/>
        </w:rPr>
      </w:pPr>
      <w:r>
        <w:rPr>
          <w:rFonts w:hint="eastAsia" w:hAnsi="宋体" w:cs="宋体"/>
          <w:szCs w:val="24"/>
        </w:rPr>
        <w:t>14.4.9施工期间的风险因素。</w:t>
      </w:r>
    </w:p>
    <w:p w14:paraId="5C6E2B90">
      <w:pPr>
        <w:pStyle w:val="11"/>
        <w:spacing w:line="400" w:lineRule="exact"/>
        <w:ind w:firstLine="480" w:firstLineChars="200"/>
        <w:rPr>
          <w:rFonts w:hint="eastAsia" w:hAnsi="宋体" w:cs="宋体"/>
          <w:szCs w:val="24"/>
        </w:rPr>
      </w:pPr>
      <w:r>
        <w:rPr>
          <w:rFonts w:hint="eastAsia" w:hAnsi="宋体" w:cs="宋体"/>
          <w:szCs w:val="24"/>
        </w:rPr>
        <w:t>14.5投标人的费用项目编制原则</w:t>
      </w:r>
    </w:p>
    <w:p w14:paraId="098A1E04">
      <w:pPr>
        <w:pStyle w:val="11"/>
        <w:spacing w:line="400" w:lineRule="exact"/>
        <w:ind w:firstLine="480" w:firstLineChars="200"/>
        <w:rPr>
          <w:rFonts w:hint="eastAsia" w:hAnsi="宋体" w:cs="宋体"/>
          <w:szCs w:val="24"/>
        </w:rPr>
      </w:pPr>
      <w:r>
        <w:rPr>
          <w:rFonts w:hint="eastAsia" w:hAnsi="宋体" w:cs="宋体"/>
          <w:szCs w:val="24"/>
        </w:rPr>
        <w:t>14.5.1措施项目费用应根据自行确定的施工组织设计（施工方案）填写，如遇清单缺项的项目，投标人应依据清单编制的办法进行补充。</w:t>
      </w:r>
    </w:p>
    <w:p w14:paraId="12AE25BF">
      <w:pPr>
        <w:pStyle w:val="11"/>
        <w:spacing w:line="400" w:lineRule="exact"/>
        <w:ind w:firstLine="480" w:firstLineChars="200"/>
        <w:rPr>
          <w:rFonts w:hint="eastAsia" w:hAnsi="宋体" w:cs="宋体"/>
          <w:szCs w:val="24"/>
        </w:rPr>
      </w:pPr>
      <w:r>
        <w:rPr>
          <w:rFonts w:hint="eastAsia" w:hAnsi="宋体" w:cs="宋体"/>
          <w:szCs w:val="24"/>
        </w:rPr>
        <w:t>14.5.2其他项目费用，如总包服务费，承包人应根据发包人提出的工程分包项目，按规定或自主确定费用。</w:t>
      </w:r>
    </w:p>
    <w:p w14:paraId="3DEABCE5">
      <w:pPr>
        <w:pStyle w:val="11"/>
        <w:spacing w:line="400" w:lineRule="exact"/>
        <w:ind w:firstLine="480" w:firstLineChars="200"/>
        <w:rPr>
          <w:rFonts w:hint="eastAsia" w:hAnsi="宋体" w:cs="宋体"/>
          <w:szCs w:val="24"/>
        </w:rPr>
      </w:pPr>
      <w:r>
        <w:rPr>
          <w:rFonts w:hint="eastAsia" w:hAnsi="宋体" w:cs="宋体"/>
          <w:szCs w:val="24"/>
        </w:rPr>
        <w:t>14.5.3其他项目清单中招标人的暂列金额、专业工程暂估价均为估算金额。投标时计入投标总价，工程竣工后应按承包人实际完成的工程内容及本招标文件中规定的计价方式结算。</w:t>
      </w:r>
    </w:p>
    <w:p w14:paraId="715D72FB">
      <w:pPr>
        <w:pStyle w:val="11"/>
        <w:spacing w:line="400" w:lineRule="exact"/>
        <w:ind w:firstLine="480" w:firstLineChars="200"/>
        <w:rPr>
          <w:rFonts w:hint="eastAsia" w:hAnsi="宋体" w:cs="宋体"/>
          <w:szCs w:val="24"/>
        </w:rPr>
      </w:pPr>
      <w:r>
        <w:rPr>
          <w:rFonts w:hint="eastAsia" w:hAnsi="宋体" w:cs="宋体"/>
          <w:szCs w:val="24"/>
        </w:rPr>
        <w:t>14.5.4投标人应当按照企业定额或者安徽省建设厅发布的消耗量定额、取费标准、人工预算单价和施工机械台班预算单价以及材料市场价格信息等，根据自身实力、施工经验、现场环境以及招标文件的要求，由投标人自主报价。</w:t>
      </w:r>
    </w:p>
    <w:p w14:paraId="29110690">
      <w:pPr>
        <w:pStyle w:val="11"/>
        <w:spacing w:line="400" w:lineRule="exact"/>
        <w:ind w:firstLine="480" w:firstLineChars="200"/>
        <w:rPr>
          <w:rFonts w:hint="eastAsia" w:hAnsi="宋体" w:cs="宋体"/>
          <w:szCs w:val="24"/>
        </w:rPr>
      </w:pPr>
      <w:r>
        <w:rPr>
          <w:rFonts w:hint="eastAsia" w:hAnsi="宋体" w:cs="宋体"/>
          <w:szCs w:val="24"/>
        </w:rPr>
        <w:t>14.6投标人的报价由不可竞争费用和可竞争费用构成。不可竞争费用（安全文明施工费等）应严格执行下表有关费用标准，不得降低标准进行竞标。</w:t>
      </w:r>
    </w:p>
    <w:p w14:paraId="0D359410">
      <w:pPr>
        <w:pStyle w:val="11"/>
        <w:spacing w:line="400" w:lineRule="exact"/>
        <w:ind w:firstLine="480"/>
        <w:rPr>
          <w:rFonts w:hint="eastAsia" w:hAnsi="宋体" w:cs="宋体"/>
          <w:szCs w:val="24"/>
        </w:rPr>
      </w:pPr>
      <w:r>
        <w:rPr>
          <w:rFonts w:hint="eastAsia" w:hAnsi="宋体" w:cs="宋体"/>
          <w:szCs w:val="24"/>
        </w:rPr>
        <w:t>14.6.1不可竞争费用包括：</w:t>
      </w:r>
    </w:p>
    <w:p w14:paraId="5B7DE3CE">
      <w:pPr>
        <w:pStyle w:val="11"/>
        <w:spacing w:line="400" w:lineRule="exact"/>
        <w:ind w:firstLine="480" w:firstLineChars="200"/>
        <w:rPr>
          <w:rFonts w:hint="eastAsia" w:hAnsi="宋体" w:cs="宋体"/>
          <w:szCs w:val="24"/>
        </w:rPr>
      </w:pPr>
      <w:r>
        <w:rPr>
          <w:rFonts w:hint="eastAsia" w:hAnsi="宋体" w:cs="宋体"/>
          <w:szCs w:val="24"/>
        </w:rPr>
        <w:t>1）安全文明施工费（见下表）</w:t>
      </w:r>
    </w:p>
    <w:p w14:paraId="0799464F">
      <w:pPr>
        <w:pStyle w:val="11"/>
        <w:numPr>
          <w:ilvl w:val="0"/>
          <w:numId w:val="6"/>
        </w:numPr>
        <w:spacing w:line="400" w:lineRule="exact"/>
        <w:ind w:firstLine="480" w:firstLineChars="200"/>
        <w:jc w:val="center"/>
        <w:rPr>
          <w:rFonts w:hint="eastAsia" w:hAnsi="宋体" w:cs="宋体"/>
          <w:szCs w:val="24"/>
        </w:rPr>
      </w:pPr>
      <w:r>
        <w:rPr>
          <w:rFonts w:hint="eastAsia" w:hAnsi="宋体" w:cs="宋体"/>
          <w:szCs w:val="24"/>
        </w:rPr>
        <w:t>建筑工程不可竞争费费率</w:t>
      </w:r>
    </w:p>
    <w:p w14:paraId="1E2AEA77">
      <w:pPr>
        <w:pStyle w:val="11"/>
        <w:spacing w:line="400" w:lineRule="exact"/>
        <w:rPr>
          <w:rFonts w:hint="eastAsia" w:hAnsi="宋体" w:cs="宋体"/>
          <w:szCs w:val="24"/>
        </w:rPr>
      </w:pPr>
    </w:p>
    <w:tbl>
      <w:tblPr>
        <w:tblStyle w:val="19"/>
        <w:tblW w:w="8310" w:type="dxa"/>
        <w:tblInd w:w="93" w:type="dxa"/>
        <w:tblLayout w:type="fixed"/>
        <w:tblCellMar>
          <w:top w:w="0" w:type="dxa"/>
          <w:left w:w="108" w:type="dxa"/>
          <w:bottom w:w="0" w:type="dxa"/>
          <w:right w:w="108" w:type="dxa"/>
        </w:tblCellMar>
      </w:tblPr>
      <w:tblGrid>
        <w:gridCol w:w="1225"/>
        <w:gridCol w:w="3545"/>
        <w:gridCol w:w="2145"/>
        <w:gridCol w:w="235"/>
        <w:gridCol w:w="1160"/>
      </w:tblGrid>
      <w:tr w14:paraId="1070A271">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6F719FAF">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项目编码</w:t>
            </w:r>
          </w:p>
        </w:tc>
        <w:tc>
          <w:tcPr>
            <w:tcW w:w="3545" w:type="dxa"/>
            <w:tcBorders>
              <w:top w:val="single" w:color="000000" w:sz="4" w:space="0"/>
              <w:left w:val="single" w:color="000000" w:sz="4" w:space="0"/>
              <w:bottom w:val="single" w:color="000000" w:sz="4" w:space="0"/>
              <w:right w:val="single" w:color="000000" w:sz="4" w:space="0"/>
            </w:tcBorders>
            <w:vAlign w:val="center"/>
          </w:tcPr>
          <w:p w14:paraId="7507EF36">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项目名称</w:t>
            </w:r>
          </w:p>
        </w:tc>
        <w:tc>
          <w:tcPr>
            <w:tcW w:w="2380" w:type="dxa"/>
            <w:gridSpan w:val="2"/>
            <w:tcBorders>
              <w:top w:val="single" w:color="000000" w:sz="4" w:space="0"/>
              <w:left w:val="single" w:color="000000" w:sz="4" w:space="0"/>
              <w:bottom w:val="single" w:color="000000" w:sz="4" w:space="0"/>
              <w:right w:val="single" w:color="000000" w:sz="4" w:space="0"/>
            </w:tcBorders>
            <w:vAlign w:val="center"/>
          </w:tcPr>
          <w:p w14:paraId="4C70E786">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计费基础</w:t>
            </w:r>
          </w:p>
        </w:tc>
        <w:tc>
          <w:tcPr>
            <w:tcW w:w="1160" w:type="dxa"/>
            <w:tcBorders>
              <w:top w:val="single" w:color="000000" w:sz="4" w:space="0"/>
              <w:left w:val="single" w:color="000000" w:sz="4" w:space="0"/>
              <w:bottom w:val="single" w:color="000000" w:sz="4" w:space="0"/>
              <w:right w:val="single" w:color="000000" w:sz="4" w:space="0"/>
            </w:tcBorders>
            <w:vAlign w:val="center"/>
          </w:tcPr>
          <w:p w14:paraId="226ED1BA">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费率（%）</w:t>
            </w:r>
          </w:p>
        </w:tc>
      </w:tr>
      <w:tr w14:paraId="1020E8E8">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4C1482AC">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（一）</w:t>
            </w:r>
          </w:p>
        </w:tc>
        <w:tc>
          <w:tcPr>
            <w:tcW w:w="7085" w:type="dxa"/>
            <w:gridSpan w:val="4"/>
            <w:tcBorders>
              <w:top w:val="single" w:color="000000" w:sz="4" w:space="0"/>
              <w:left w:val="single" w:color="000000" w:sz="4" w:space="0"/>
              <w:bottom w:val="single" w:color="000000" w:sz="4" w:space="0"/>
              <w:right w:val="single" w:color="000000" w:sz="4" w:space="0"/>
            </w:tcBorders>
            <w:noWrap/>
            <w:vAlign w:val="center"/>
          </w:tcPr>
          <w:p w14:paraId="49E5CE1C">
            <w:pPr>
              <w:kinsoku/>
              <w:autoSpaceDE/>
              <w:autoSpaceDN/>
              <w:adjustRightInd/>
              <w:snapToGrid/>
              <w:spacing w:line="400" w:lineRule="exact"/>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安全文明施工费</w:t>
            </w:r>
          </w:p>
        </w:tc>
      </w:tr>
      <w:tr w14:paraId="57917140">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5993D2DD">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JF－01</w:t>
            </w:r>
          </w:p>
        </w:tc>
        <w:tc>
          <w:tcPr>
            <w:tcW w:w="3545" w:type="dxa"/>
            <w:tcBorders>
              <w:top w:val="single" w:color="000000" w:sz="4" w:space="0"/>
              <w:left w:val="single" w:color="000000" w:sz="4" w:space="0"/>
              <w:bottom w:val="single" w:color="000000" w:sz="4" w:space="0"/>
              <w:right w:val="single" w:color="000000" w:sz="4" w:space="0"/>
            </w:tcBorders>
            <w:vAlign w:val="center"/>
          </w:tcPr>
          <w:p w14:paraId="170D462C">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环境保护费</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7349D04F">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定额人工费+定额机械费</w:t>
            </w: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71C96E18">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3.28</w:t>
            </w:r>
          </w:p>
        </w:tc>
      </w:tr>
      <w:tr w14:paraId="705E6647">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01B278B3">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JF－02</w:t>
            </w:r>
          </w:p>
        </w:tc>
        <w:tc>
          <w:tcPr>
            <w:tcW w:w="3545" w:type="dxa"/>
            <w:tcBorders>
              <w:top w:val="single" w:color="000000" w:sz="4" w:space="0"/>
              <w:left w:val="single" w:color="000000" w:sz="4" w:space="0"/>
              <w:bottom w:val="single" w:color="000000" w:sz="4" w:space="0"/>
              <w:right w:val="single" w:color="000000" w:sz="4" w:space="0"/>
            </w:tcBorders>
            <w:vAlign w:val="center"/>
          </w:tcPr>
          <w:p w14:paraId="36CD1357">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文明施工费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46BBFCE">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64AA3274">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5.12</w:t>
            </w:r>
          </w:p>
        </w:tc>
      </w:tr>
      <w:tr w14:paraId="59B9A82B">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70869F56">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JF－03</w:t>
            </w:r>
          </w:p>
        </w:tc>
        <w:tc>
          <w:tcPr>
            <w:tcW w:w="3545" w:type="dxa"/>
            <w:tcBorders>
              <w:top w:val="single" w:color="000000" w:sz="4" w:space="0"/>
              <w:left w:val="single" w:color="000000" w:sz="4" w:space="0"/>
              <w:bottom w:val="single" w:color="000000" w:sz="4" w:space="0"/>
              <w:right w:val="single" w:color="000000" w:sz="4" w:space="0"/>
            </w:tcBorders>
            <w:vAlign w:val="center"/>
          </w:tcPr>
          <w:p w14:paraId="779B95A8">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安全施工费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26C95222">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14609ED2">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4.13</w:t>
            </w:r>
          </w:p>
        </w:tc>
      </w:tr>
      <w:tr w14:paraId="1BDBFC7C">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42755735">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JF－04</w:t>
            </w:r>
          </w:p>
        </w:tc>
        <w:tc>
          <w:tcPr>
            <w:tcW w:w="3545" w:type="dxa"/>
            <w:tcBorders>
              <w:top w:val="single" w:color="000000" w:sz="4" w:space="0"/>
              <w:left w:val="single" w:color="000000" w:sz="4" w:space="0"/>
              <w:bottom w:val="single" w:color="000000" w:sz="4" w:space="0"/>
              <w:right w:val="single" w:color="000000" w:sz="4" w:space="0"/>
            </w:tcBorders>
            <w:vAlign w:val="center"/>
          </w:tcPr>
          <w:p w14:paraId="2A9F6113">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临时设施费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3F5BE10E">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42D5B70B">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8.1</w:t>
            </w:r>
          </w:p>
        </w:tc>
      </w:tr>
      <w:tr w14:paraId="407BD4CE">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6171F291">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（二）</w:t>
            </w:r>
          </w:p>
        </w:tc>
        <w:tc>
          <w:tcPr>
            <w:tcW w:w="3545" w:type="dxa"/>
            <w:tcBorders>
              <w:top w:val="single" w:color="000000" w:sz="4" w:space="0"/>
              <w:left w:val="single" w:color="000000" w:sz="4" w:space="0"/>
              <w:bottom w:val="single" w:color="000000" w:sz="4" w:space="0"/>
              <w:right w:val="single" w:color="000000" w:sz="4" w:space="0"/>
            </w:tcBorders>
            <w:vAlign w:val="center"/>
          </w:tcPr>
          <w:p w14:paraId="6B73967D">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vAlign w:val="center"/>
          </w:tcPr>
          <w:p w14:paraId="4C61363E">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486AB3AD">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r>
      <w:tr w14:paraId="5699750E">
        <w:tblPrEx>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vAlign w:val="center"/>
          </w:tcPr>
          <w:p w14:paraId="699FBE52">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JF－05</w:t>
            </w:r>
          </w:p>
        </w:tc>
        <w:tc>
          <w:tcPr>
            <w:tcW w:w="3545" w:type="dxa"/>
            <w:tcBorders>
              <w:top w:val="single" w:color="000000" w:sz="4" w:space="0"/>
              <w:left w:val="single" w:color="000000" w:sz="4" w:space="0"/>
              <w:bottom w:val="single" w:color="000000" w:sz="4" w:space="0"/>
              <w:right w:val="single" w:color="000000" w:sz="4" w:space="0"/>
            </w:tcBorders>
            <w:vAlign w:val="center"/>
          </w:tcPr>
          <w:p w14:paraId="305547AD">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vAlign w:val="center"/>
          </w:tcPr>
          <w:p w14:paraId="52AB834D">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18D8F771">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r>
    </w:tbl>
    <w:p w14:paraId="582C6D1B">
      <w:pPr>
        <w:widowControl w:val="0"/>
        <w:kinsoku/>
        <w:autoSpaceDE/>
        <w:autoSpaceDN/>
        <w:adjustRightInd/>
        <w:snapToGrid/>
        <w:spacing w:line="400" w:lineRule="exact"/>
        <w:jc w:val="center"/>
        <w:textAlignment w:val="auto"/>
        <w:rPr>
          <w:rFonts w:hint="eastAsia" w:ascii="宋体" w:hAnsi="宋体" w:eastAsia="宋体" w:cs="宋体"/>
          <w:snapToGrid/>
          <w:color w:val="auto"/>
          <w:sz w:val="24"/>
          <w:szCs w:val="24"/>
          <w:lang w:eastAsia="zh-CN"/>
        </w:rPr>
      </w:pPr>
    </w:p>
    <w:p w14:paraId="3B62888A">
      <w:pPr>
        <w:widowControl w:val="0"/>
        <w:kinsoku/>
        <w:autoSpaceDE/>
        <w:autoSpaceDN/>
        <w:adjustRightInd/>
        <w:snapToGrid/>
        <w:spacing w:line="400" w:lineRule="exact"/>
        <w:jc w:val="center"/>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二、市政公用工程不可竞争费费率</w:t>
      </w:r>
    </w:p>
    <w:tbl>
      <w:tblPr>
        <w:tblStyle w:val="19"/>
        <w:tblW w:w="8310" w:type="dxa"/>
        <w:tblInd w:w="93" w:type="dxa"/>
        <w:tblLayout w:type="fixed"/>
        <w:tblCellMar>
          <w:top w:w="0" w:type="dxa"/>
          <w:left w:w="108" w:type="dxa"/>
          <w:bottom w:w="0" w:type="dxa"/>
          <w:right w:w="108" w:type="dxa"/>
        </w:tblCellMar>
      </w:tblPr>
      <w:tblGrid>
        <w:gridCol w:w="1237"/>
        <w:gridCol w:w="3533"/>
        <w:gridCol w:w="2145"/>
        <w:gridCol w:w="186"/>
        <w:gridCol w:w="1209"/>
      </w:tblGrid>
      <w:tr w14:paraId="3C1B9C56">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4E1CE6E8">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项目编码</w:t>
            </w:r>
          </w:p>
        </w:tc>
        <w:tc>
          <w:tcPr>
            <w:tcW w:w="3533" w:type="dxa"/>
            <w:tcBorders>
              <w:top w:val="single" w:color="000000" w:sz="4" w:space="0"/>
              <w:left w:val="single" w:color="000000" w:sz="4" w:space="0"/>
              <w:bottom w:val="single" w:color="000000" w:sz="4" w:space="0"/>
              <w:right w:val="single" w:color="000000" w:sz="4" w:space="0"/>
            </w:tcBorders>
            <w:vAlign w:val="center"/>
          </w:tcPr>
          <w:p w14:paraId="45D324C7">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项目名称</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14:paraId="5036BF9B">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计费基础</w:t>
            </w:r>
          </w:p>
        </w:tc>
        <w:tc>
          <w:tcPr>
            <w:tcW w:w="1209" w:type="dxa"/>
            <w:tcBorders>
              <w:top w:val="single" w:color="000000" w:sz="4" w:space="0"/>
              <w:left w:val="single" w:color="000000" w:sz="4" w:space="0"/>
              <w:bottom w:val="single" w:color="000000" w:sz="4" w:space="0"/>
              <w:right w:val="single" w:color="000000" w:sz="4" w:space="0"/>
            </w:tcBorders>
            <w:vAlign w:val="center"/>
          </w:tcPr>
          <w:p w14:paraId="5F618AED">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费率（%）</w:t>
            </w:r>
          </w:p>
        </w:tc>
      </w:tr>
      <w:tr w14:paraId="1374F824">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0A495AD9">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（一）</w:t>
            </w:r>
          </w:p>
        </w:tc>
        <w:tc>
          <w:tcPr>
            <w:tcW w:w="7073" w:type="dxa"/>
            <w:gridSpan w:val="4"/>
            <w:tcBorders>
              <w:top w:val="single" w:color="000000" w:sz="4" w:space="0"/>
              <w:left w:val="single" w:color="000000" w:sz="4" w:space="0"/>
              <w:bottom w:val="single" w:color="000000" w:sz="4" w:space="0"/>
              <w:right w:val="single" w:color="000000" w:sz="4" w:space="0"/>
            </w:tcBorders>
            <w:noWrap/>
            <w:vAlign w:val="center"/>
          </w:tcPr>
          <w:p w14:paraId="3B2EF4E0">
            <w:pPr>
              <w:kinsoku/>
              <w:autoSpaceDE/>
              <w:autoSpaceDN/>
              <w:adjustRightInd/>
              <w:snapToGrid/>
              <w:spacing w:line="400" w:lineRule="exact"/>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安全文明施工费</w:t>
            </w:r>
          </w:p>
        </w:tc>
      </w:tr>
      <w:tr w14:paraId="0B40EFBE">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09602A7D">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JF－01</w:t>
            </w:r>
          </w:p>
        </w:tc>
        <w:tc>
          <w:tcPr>
            <w:tcW w:w="3533" w:type="dxa"/>
            <w:tcBorders>
              <w:top w:val="single" w:color="000000" w:sz="4" w:space="0"/>
              <w:left w:val="single" w:color="000000" w:sz="4" w:space="0"/>
              <w:bottom w:val="single" w:color="000000" w:sz="4" w:space="0"/>
              <w:right w:val="single" w:color="000000" w:sz="4" w:space="0"/>
            </w:tcBorders>
            <w:vAlign w:val="center"/>
          </w:tcPr>
          <w:p w14:paraId="494AB3BC">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环境保护费</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51DE0139">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定额人工费+定额机械费</w:t>
            </w: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4CE1BDF3">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3.57</w:t>
            </w:r>
          </w:p>
        </w:tc>
      </w:tr>
      <w:tr w14:paraId="24F8A781">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553A050B">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JF－02</w:t>
            </w:r>
          </w:p>
        </w:tc>
        <w:tc>
          <w:tcPr>
            <w:tcW w:w="3533" w:type="dxa"/>
            <w:tcBorders>
              <w:top w:val="single" w:color="000000" w:sz="4" w:space="0"/>
              <w:left w:val="single" w:color="000000" w:sz="4" w:space="0"/>
              <w:bottom w:val="single" w:color="000000" w:sz="4" w:space="0"/>
              <w:right w:val="single" w:color="000000" w:sz="4" w:space="0"/>
            </w:tcBorders>
            <w:vAlign w:val="center"/>
          </w:tcPr>
          <w:p w14:paraId="2DE0599A">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文明施工费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12DA4449">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5A7A681B">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7.33</w:t>
            </w:r>
          </w:p>
        </w:tc>
      </w:tr>
      <w:tr w14:paraId="21767B1F">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723ED594">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JF－03</w:t>
            </w:r>
          </w:p>
        </w:tc>
        <w:tc>
          <w:tcPr>
            <w:tcW w:w="3533" w:type="dxa"/>
            <w:tcBorders>
              <w:top w:val="single" w:color="000000" w:sz="4" w:space="0"/>
              <w:left w:val="single" w:color="000000" w:sz="4" w:space="0"/>
              <w:bottom w:val="single" w:color="000000" w:sz="4" w:space="0"/>
              <w:right w:val="single" w:color="000000" w:sz="4" w:space="0"/>
            </w:tcBorders>
            <w:vAlign w:val="center"/>
          </w:tcPr>
          <w:p w14:paraId="6F94872C">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安全施工费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30129F4B">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5575C0E9">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5.28</w:t>
            </w:r>
          </w:p>
        </w:tc>
      </w:tr>
      <w:tr w14:paraId="0FB900A6">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595E0AE2">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JF－04</w:t>
            </w:r>
          </w:p>
        </w:tc>
        <w:tc>
          <w:tcPr>
            <w:tcW w:w="3533" w:type="dxa"/>
            <w:tcBorders>
              <w:top w:val="single" w:color="000000" w:sz="4" w:space="0"/>
              <w:left w:val="single" w:color="000000" w:sz="4" w:space="0"/>
              <w:bottom w:val="single" w:color="000000" w:sz="4" w:space="0"/>
              <w:right w:val="single" w:color="000000" w:sz="4" w:space="0"/>
            </w:tcBorders>
            <w:vAlign w:val="center"/>
          </w:tcPr>
          <w:p w14:paraId="07D469E7">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临时设施费</w:t>
            </w: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AEF88AC">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525B32CF">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9.99</w:t>
            </w:r>
          </w:p>
        </w:tc>
      </w:tr>
      <w:tr w14:paraId="505B65BE">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475AA4CA">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（二）</w:t>
            </w:r>
          </w:p>
        </w:tc>
        <w:tc>
          <w:tcPr>
            <w:tcW w:w="3533" w:type="dxa"/>
            <w:tcBorders>
              <w:top w:val="single" w:color="000000" w:sz="4" w:space="0"/>
              <w:left w:val="single" w:color="000000" w:sz="4" w:space="0"/>
              <w:bottom w:val="single" w:color="000000" w:sz="4" w:space="0"/>
              <w:right w:val="single" w:color="000000" w:sz="4" w:space="0"/>
            </w:tcBorders>
            <w:vAlign w:val="center"/>
          </w:tcPr>
          <w:p w14:paraId="7B70B3F8">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vAlign w:val="center"/>
          </w:tcPr>
          <w:p w14:paraId="2DB52216">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18E97C89">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r>
      <w:tr w14:paraId="50958D40">
        <w:tblPrEx>
          <w:tblCellMar>
            <w:top w:w="0" w:type="dxa"/>
            <w:left w:w="108" w:type="dxa"/>
            <w:bottom w:w="0" w:type="dxa"/>
            <w:right w:w="108" w:type="dxa"/>
          </w:tblCellMar>
        </w:tblPrEx>
        <w:trPr>
          <w:trHeight w:val="540"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5D5AF8EC">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JF－05</w:t>
            </w:r>
          </w:p>
        </w:tc>
        <w:tc>
          <w:tcPr>
            <w:tcW w:w="3533" w:type="dxa"/>
            <w:tcBorders>
              <w:top w:val="single" w:color="000000" w:sz="4" w:space="0"/>
              <w:left w:val="single" w:color="000000" w:sz="4" w:space="0"/>
              <w:bottom w:val="single" w:color="000000" w:sz="4" w:space="0"/>
              <w:right w:val="single" w:color="000000" w:sz="4" w:space="0"/>
            </w:tcBorders>
            <w:vAlign w:val="center"/>
          </w:tcPr>
          <w:p w14:paraId="060C59D8">
            <w:pPr>
              <w:kinsoku/>
              <w:autoSpaceDE/>
              <w:autoSpaceDN/>
              <w:adjustRightInd/>
              <w:snapToGrid/>
              <w:spacing w:line="400" w:lineRule="exact"/>
              <w:jc w:val="center"/>
              <w:textAlignment w:val="center"/>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vAlign w:val="center"/>
          </w:tcPr>
          <w:p w14:paraId="22DF5A5C">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6D9A394F">
            <w:pPr>
              <w:widowControl w:val="0"/>
              <w:kinsoku/>
              <w:autoSpaceDE/>
              <w:autoSpaceDN/>
              <w:adjustRightInd/>
              <w:snapToGrid/>
              <w:spacing w:line="400" w:lineRule="exact"/>
              <w:jc w:val="both"/>
              <w:textAlignment w:val="auto"/>
              <w:rPr>
                <w:rFonts w:hint="eastAsia" w:ascii="宋体" w:hAnsi="宋体" w:eastAsia="宋体" w:cs="宋体"/>
                <w:snapToGrid/>
                <w:sz w:val="24"/>
                <w:szCs w:val="24"/>
                <w:lang w:eastAsia="zh-CN"/>
              </w:rPr>
            </w:pPr>
          </w:p>
        </w:tc>
      </w:tr>
    </w:tbl>
    <w:p w14:paraId="1458AC57">
      <w:pPr>
        <w:widowControl w:val="0"/>
        <w:kinsoku/>
        <w:autoSpaceDE/>
        <w:autoSpaceDN/>
        <w:adjustRightInd/>
        <w:snapToGrid/>
        <w:spacing w:line="400" w:lineRule="exact"/>
        <w:jc w:val="center"/>
        <w:textAlignment w:val="auto"/>
        <w:rPr>
          <w:rFonts w:hint="eastAsia" w:ascii="宋体" w:hAnsi="宋体" w:eastAsia="宋体" w:cs="宋体"/>
          <w:snapToGrid/>
          <w:sz w:val="24"/>
          <w:szCs w:val="24"/>
          <w:lang w:eastAsia="zh-CN"/>
        </w:rPr>
      </w:pPr>
    </w:p>
    <w:p w14:paraId="28D84226">
      <w:pPr>
        <w:pStyle w:val="11"/>
        <w:spacing w:line="400" w:lineRule="exact"/>
        <w:ind w:firstLine="480" w:firstLineChars="200"/>
        <w:rPr>
          <w:rFonts w:hint="eastAsia" w:hAnsi="宋体" w:cs="宋体"/>
          <w:szCs w:val="24"/>
        </w:rPr>
      </w:pPr>
      <w:r>
        <w:rPr>
          <w:rFonts w:hint="eastAsia" w:hAnsi="宋体" w:cs="宋体"/>
          <w:szCs w:val="24"/>
        </w:rPr>
        <w:t>2）税金：按9%执行{分部分项工程项目费+措施项目费+不可竞争费+其他项目费}；</w:t>
      </w:r>
    </w:p>
    <w:p w14:paraId="0B6E7CA8">
      <w:pPr>
        <w:pStyle w:val="11"/>
        <w:spacing w:line="400" w:lineRule="exact"/>
        <w:ind w:firstLine="480" w:firstLineChars="200"/>
        <w:rPr>
          <w:rFonts w:hint="eastAsia" w:hAnsi="宋体" w:cs="宋体"/>
          <w:szCs w:val="24"/>
        </w:rPr>
      </w:pPr>
      <w:r>
        <w:rPr>
          <w:rFonts w:hint="eastAsia" w:hAnsi="宋体" w:cs="宋体"/>
          <w:szCs w:val="24"/>
        </w:rPr>
        <w:t>3）招标文件中明确的由招标人自行采购的材料费；</w:t>
      </w:r>
    </w:p>
    <w:p w14:paraId="28B0EC22">
      <w:pPr>
        <w:pStyle w:val="11"/>
        <w:spacing w:line="400" w:lineRule="exact"/>
        <w:ind w:firstLine="480" w:firstLineChars="200"/>
        <w:rPr>
          <w:rFonts w:hint="eastAsia" w:hAnsi="宋体" w:cs="宋体"/>
          <w:szCs w:val="24"/>
        </w:rPr>
      </w:pPr>
      <w:r>
        <w:rPr>
          <w:rFonts w:hint="eastAsia" w:hAnsi="宋体" w:cs="宋体"/>
          <w:szCs w:val="24"/>
        </w:rPr>
        <w:t>4）暂列金额、专业工程暂估价；</w:t>
      </w:r>
    </w:p>
    <w:p w14:paraId="265FA98C">
      <w:pPr>
        <w:pStyle w:val="11"/>
        <w:spacing w:line="400" w:lineRule="exact"/>
        <w:ind w:firstLine="480" w:firstLineChars="200"/>
        <w:rPr>
          <w:rFonts w:hint="eastAsia" w:hAnsi="宋体" w:cs="宋体"/>
          <w:szCs w:val="24"/>
        </w:rPr>
      </w:pPr>
      <w:r>
        <w:rPr>
          <w:rFonts w:hint="eastAsia" w:hAnsi="宋体" w:cs="宋体"/>
          <w:szCs w:val="24"/>
        </w:rPr>
        <w:t>5）法律法规规章、上级文件等规定的其他不可竞争费用。</w:t>
      </w:r>
    </w:p>
    <w:p w14:paraId="3EF8277E">
      <w:pPr>
        <w:pStyle w:val="11"/>
        <w:spacing w:line="400" w:lineRule="exact"/>
        <w:ind w:firstLine="480" w:firstLineChars="200"/>
        <w:rPr>
          <w:rFonts w:hint="eastAsia" w:hAnsi="宋体" w:cs="宋体"/>
          <w:szCs w:val="24"/>
        </w:rPr>
      </w:pPr>
      <w:r>
        <w:rPr>
          <w:rFonts w:hint="eastAsia" w:hAnsi="宋体" w:cs="宋体"/>
          <w:szCs w:val="24"/>
        </w:rPr>
        <w:t>14.6.2可竞争费用包括：</w:t>
      </w:r>
    </w:p>
    <w:p w14:paraId="510FD920">
      <w:pPr>
        <w:pStyle w:val="11"/>
        <w:spacing w:line="400" w:lineRule="exact"/>
        <w:ind w:firstLine="480" w:firstLineChars="200"/>
        <w:rPr>
          <w:rFonts w:hint="eastAsia" w:hAnsi="宋体" w:cs="宋体"/>
          <w:szCs w:val="24"/>
        </w:rPr>
      </w:pPr>
      <w:r>
        <w:rPr>
          <w:rFonts w:hint="eastAsia" w:hAnsi="宋体" w:cs="宋体"/>
          <w:szCs w:val="24"/>
        </w:rPr>
        <w:t>(1)材料费、机械费用；</w:t>
      </w:r>
    </w:p>
    <w:p w14:paraId="68097DFC">
      <w:pPr>
        <w:pStyle w:val="11"/>
        <w:spacing w:line="400" w:lineRule="exact"/>
        <w:ind w:firstLine="480" w:firstLineChars="200"/>
        <w:rPr>
          <w:rFonts w:hint="eastAsia" w:hAnsi="宋体" w:cs="宋体"/>
          <w:szCs w:val="24"/>
        </w:rPr>
      </w:pPr>
      <w:r>
        <w:rPr>
          <w:rFonts w:hint="eastAsia" w:hAnsi="宋体" w:cs="宋体"/>
          <w:szCs w:val="24"/>
        </w:rPr>
        <w:t>(2)综合费；</w:t>
      </w:r>
    </w:p>
    <w:p w14:paraId="4F3312D3">
      <w:pPr>
        <w:pStyle w:val="11"/>
        <w:spacing w:line="400" w:lineRule="exact"/>
        <w:ind w:firstLine="480" w:firstLineChars="200"/>
        <w:rPr>
          <w:rFonts w:hint="eastAsia" w:hAnsi="宋体" w:cs="宋体"/>
          <w:szCs w:val="24"/>
        </w:rPr>
      </w:pPr>
      <w:r>
        <w:rPr>
          <w:rFonts w:hint="eastAsia" w:hAnsi="宋体" w:cs="宋体"/>
          <w:szCs w:val="24"/>
        </w:rPr>
        <w:t>(3)措施项目费。</w:t>
      </w:r>
    </w:p>
    <w:p w14:paraId="7566002A">
      <w:pPr>
        <w:pStyle w:val="11"/>
        <w:spacing w:line="400" w:lineRule="exact"/>
        <w:ind w:firstLine="600" w:firstLineChars="250"/>
        <w:rPr>
          <w:rFonts w:hint="eastAsia" w:hAnsi="宋体" w:cs="宋体"/>
          <w:szCs w:val="24"/>
        </w:rPr>
      </w:pPr>
      <w:r>
        <w:rPr>
          <w:rFonts w:hint="eastAsia" w:hAnsi="宋体" w:cs="宋体"/>
          <w:szCs w:val="24"/>
        </w:rPr>
        <w:t>14.7工程材料</w:t>
      </w:r>
    </w:p>
    <w:p w14:paraId="65215174">
      <w:pPr>
        <w:pStyle w:val="11"/>
        <w:spacing w:line="400" w:lineRule="exact"/>
        <w:ind w:firstLine="600" w:firstLineChars="250"/>
        <w:rPr>
          <w:rFonts w:hint="eastAsia" w:hAnsi="宋体" w:cs="宋体"/>
          <w:szCs w:val="24"/>
          <w:highlight w:val="none"/>
        </w:rPr>
      </w:pPr>
      <w:r>
        <w:rPr>
          <w:rFonts w:hint="eastAsia" w:hAnsi="宋体" w:cs="宋体"/>
          <w:szCs w:val="24"/>
        </w:rPr>
        <w:t>14.7.1材料供应方式：</w:t>
      </w:r>
      <w:r>
        <w:rPr>
          <w:rFonts w:hint="eastAsia" w:hAnsi="宋体" w:cs="宋体"/>
          <w:szCs w:val="24"/>
          <w:highlight w:val="none"/>
        </w:rPr>
        <w:t>本工程使用的材料由承包方采购供应；</w:t>
      </w:r>
    </w:p>
    <w:p w14:paraId="4A3EB545">
      <w:pPr>
        <w:pStyle w:val="11"/>
        <w:spacing w:line="400" w:lineRule="exact"/>
        <w:ind w:firstLine="600" w:firstLineChars="250"/>
        <w:rPr>
          <w:rFonts w:hint="eastAsia" w:hAnsi="宋体" w:cs="宋体"/>
          <w:szCs w:val="24"/>
        </w:rPr>
      </w:pPr>
      <w:r>
        <w:rPr>
          <w:rFonts w:hint="eastAsia" w:hAnsi="宋体" w:cs="宋体"/>
          <w:szCs w:val="24"/>
        </w:rPr>
        <w:t>14.7.2材料价格：除甲供材和实行暂定价的材料及设备以外，由投标人自行采购的材料确定投标报价时应充分考虑材料价格波动等市场风险因素，中标后不作调整（合同另有约定的除外），综合单价中的材料费应包括材料运杂费、运输损耗费、采保费。</w:t>
      </w:r>
    </w:p>
    <w:p w14:paraId="62BCE1A5">
      <w:pPr>
        <w:pStyle w:val="11"/>
        <w:spacing w:line="400" w:lineRule="exact"/>
        <w:ind w:firstLine="600" w:firstLineChars="250"/>
        <w:rPr>
          <w:rFonts w:hint="eastAsia" w:hAnsi="宋体" w:cs="宋体"/>
          <w:bCs/>
          <w:szCs w:val="24"/>
        </w:rPr>
      </w:pPr>
      <w:r>
        <w:rPr>
          <w:rFonts w:hint="eastAsia" w:hAnsi="宋体" w:cs="宋体"/>
          <w:szCs w:val="24"/>
        </w:rPr>
        <w:t>14.7.3结算时实行暂定价的材料和设备的价差仅计取税金，不再计取其他费用。</w:t>
      </w:r>
      <w:r>
        <w:rPr>
          <w:rFonts w:hint="eastAsia" w:hAnsi="宋体" w:cs="宋体"/>
          <w:bCs/>
          <w:szCs w:val="24"/>
        </w:rPr>
        <w:t>实行暂定价的材料招标，应按相关规定进行二次招标。</w:t>
      </w:r>
    </w:p>
    <w:p w14:paraId="03295F05">
      <w:pPr>
        <w:pStyle w:val="11"/>
        <w:spacing w:line="400" w:lineRule="exact"/>
        <w:ind w:firstLine="600" w:firstLineChars="250"/>
        <w:rPr>
          <w:rFonts w:hint="eastAsia" w:hAnsi="宋体" w:cs="宋体"/>
          <w:szCs w:val="24"/>
        </w:rPr>
      </w:pPr>
      <w:r>
        <w:rPr>
          <w:rFonts w:hint="eastAsia" w:hAnsi="宋体" w:cs="宋体"/>
          <w:szCs w:val="24"/>
        </w:rPr>
        <w:t>14.7.4</w:t>
      </w:r>
      <w:r>
        <w:rPr>
          <w:rFonts w:hint="eastAsia" w:hAnsi="宋体" w:cs="宋体"/>
          <w:bCs/>
          <w:szCs w:val="24"/>
        </w:rPr>
        <w:t>配套等附属工程应当与项目主体工程同时招标。若项目招标不含配套等附属工程（仅因配套等附属工程暂不具备招标条件），则配套等附属工程在施工图、清单编制等完成后另行招标。</w:t>
      </w:r>
    </w:p>
    <w:p w14:paraId="652F01C1">
      <w:pPr>
        <w:pStyle w:val="11"/>
        <w:spacing w:line="400" w:lineRule="exact"/>
        <w:ind w:firstLine="600" w:firstLineChars="250"/>
        <w:rPr>
          <w:rFonts w:hint="eastAsia" w:hAnsi="宋体" w:cs="宋体"/>
          <w:szCs w:val="24"/>
        </w:rPr>
      </w:pPr>
      <w:r>
        <w:rPr>
          <w:rFonts w:hint="eastAsia" w:hAnsi="宋体" w:cs="宋体"/>
          <w:szCs w:val="24"/>
        </w:rPr>
        <w:t>14.8本招标工程的施工地点为本须知前附表所述，投标人应自行到施工现场踏勘以充分了解工地位置、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57633922">
      <w:pPr>
        <w:pStyle w:val="11"/>
        <w:spacing w:line="400" w:lineRule="exact"/>
        <w:ind w:firstLine="600" w:firstLineChars="250"/>
        <w:rPr>
          <w:rFonts w:hint="eastAsia" w:hAnsi="宋体" w:cs="宋体"/>
          <w:szCs w:val="24"/>
        </w:rPr>
      </w:pPr>
      <w:r>
        <w:rPr>
          <w:rFonts w:hint="eastAsia" w:hAnsi="宋体" w:cs="宋体"/>
          <w:szCs w:val="24"/>
        </w:rPr>
        <w:t>14.9工程造价的确定与控制</w:t>
      </w:r>
    </w:p>
    <w:p w14:paraId="1493AD0A">
      <w:pPr>
        <w:pStyle w:val="11"/>
        <w:spacing w:line="400" w:lineRule="exact"/>
        <w:ind w:firstLine="600" w:firstLineChars="250"/>
        <w:rPr>
          <w:rFonts w:hint="eastAsia" w:hAnsi="宋体" w:cs="宋体"/>
          <w:szCs w:val="24"/>
          <w:highlight w:val="none"/>
        </w:rPr>
      </w:pPr>
      <w:r>
        <w:rPr>
          <w:rFonts w:hint="eastAsia" w:hAnsi="宋体" w:cs="宋体"/>
          <w:szCs w:val="24"/>
          <w:highlight w:val="none"/>
        </w:rPr>
        <w:t>本工程采用百分比报价方式招标，中标人收到中标通知书后，须在投标须知前附表规定的时间内与招标人签订费率合同。在单项工程施工图设计完成后，对该单项工程造价予以明确；</w:t>
      </w:r>
    </w:p>
    <w:p w14:paraId="00620A64">
      <w:pPr>
        <w:pStyle w:val="11"/>
        <w:spacing w:line="400" w:lineRule="exact"/>
        <w:rPr>
          <w:rFonts w:hint="eastAsia" w:hAnsi="宋体" w:cs="宋体"/>
          <w:bCs/>
          <w:szCs w:val="24"/>
        </w:rPr>
      </w:pPr>
      <w:r>
        <w:rPr>
          <w:rFonts w:hint="eastAsia" w:hAnsi="宋体" w:cs="宋体"/>
          <w:bCs/>
          <w:szCs w:val="24"/>
        </w:rPr>
        <w:t>15、本招标工程不保证最低价（费率）中标。</w:t>
      </w:r>
    </w:p>
    <w:p w14:paraId="4C3542D1">
      <w:pPr>
        <w:pStyle w:val="11"/>
        <w:spacing w:line="400" w:lineRule="exact"/>
        <w:rPr>
          <w:rFonts w:hint="eastAsia" w:hAnsi="宋体" w:cs="宋体"/>
          <w:bCs/>
          <w:szCs w:val="24"/>
        </w:rPr>
      </w:pPr>
      <w:r>
        <w:rPr>
          <w:rFonts w:hint="eastAsia" w:hAnsi="宋体" w:cs="宋体"/>
          <w:bCs/>
          <w:szCs w:val="24"/>
        </w:rPr>
        <w:t>16、投标货币</w:t>
      </w:r>
    </w:p>
    <w:p w14:paraId="32513760">
      <w:pPr>
        <w:pStyle w:val="11"/>
        <w:spacing w:line="400" w:lineRule="exact"/>
        <w:ind w:firstLine="480" w:firstLineChars="200"/>
        <w:rPr>
          <w:rFonts w:hint="eastAsia" w:hAnsi="宋体" w:cs="宋体"/>
          <w:szCs w:val="24"/>
        </w:rPr>
      </w:pPr>
      <w:r>
        <w:rPr>
          <w:rFonts w:hint="eastAsia" w:hAnsi="宋体" w:cs="宋体"/>
          <w:szCs w:val="24"/>
        </w:rPr>
        <w:t>本工程投标报价采用的币种为</w:t>
      </w:r>
      <w:r>
        <w:rPr>
          <w:rFonts w:hint="eastAsia" w:hAnsi="宋体" w:cs="宋体"/>
          <w:szCs w:val="24"/>
          <w:u w:val="single"/>
        </w:rPr>
        <w:t>人民币</w:t>
      </w:r>
      <w:r>
        <w:rPr>
          <w:rFonts w:hint="eastAsia" w:hAnsi="宋体" w:cs="宋体"/>
          <w:szCs w:val="24"/>
        </w:rPr>
        <w:t>。</w:t>
      </w:r>
    </w:p>
    <w:p w14:paraId="70C631DE">
      <w:pPr>
        <w:pStyle w:val="11"/>
        <w:spacing w:line="400" w:lineRule="exact"/>
        <w:rPr>
          <w:rFonts w:hint="eastAsia" w:hAnsi="宋体" w:cs="宋体"/>
          <w:szCs w:val="24"/>
        </w:rPr>
      </w:pPr>
      <w:r>
        <w:rPr>
          <w:rFonts w:hint="eastAsia" w:hAnsi="宋体" w:cs="宋体"/>
          <w:szCs w:val="24"/>
        </w:rPr>
        <w:t>17、投标有效期</w:t>
      </w:r>
    </w:p>
    <w:p w14:paraId="7E74033C">
      <w:pPr>
        <w:pStyle w:val="11"/>
        <w:spacing w:line="400" w:lineRule="exact"/>
        <w:ind w:firstLine="480" w:firstLineChars="200"/>
        <w:rPr>
          <w:rFonts w:hint="eastAsia" w:hAnsi="宋体" w:cs="宋体"/>
          <w:szCs w:val="24"/>
        </w:rPr>
      </w:pPr>
      <w:r>
        <w:rPr>
          <w:rFonts w:hint="eastAsia" w:hAnsi="宋体" w:cs="宋体"/>
          <w:szCs w:val="24"/>
        </w:rPr>
        <w:t>17.1投标有效期见本须知前附表的规定，在此期限内，凡符合本招标文件要求的投标文件均保持有效。</w:t>
      </w:r>
    </w:p>
    <w:p w14:paraId="43AD2316">
      <w:pPr>
        <w:pStyle w:val="11"/>
        <w:spacing w:line="400" w:lineRule="exact"/>
        <w:ind w:firstLine="480" w:firstLineChars="200"/>
        <w:rPr>
          <w:rFonts w:hint="eastAsia" w:hAnsi="宋体" w:cs="宋体"/>
          <w:szCs w:val="24"/>
        </w:rPr>
      </w:pPr>
      <w:r>
        <w:rPr>
          <w:rFonts w:hint="eastAsia" w:hAnsi="宋体" w:cs="宋体"/>
          <w:szCs w:val="24"/>
        </w:rPr>
        <w:t>17.2特殊情况下，招标人在原定投标有效期内，可以根据需要向投标人提出延长投标有效期的要求，对此要求招标人须以书面方式网上通知投标人。投标人可以拒绝招标人这种要求并有权收回投标保证金，</w:t>
      </w:r>
      <w:r>
        <w:rPr>
          <w:rFonts w:hint="eastAsia" w:hAnsi="宋体" w:cs="宋体"/>
          <w:bCs/>
          <w:szCs w:val="24"/>
        </w:rPr>
        <w:t>但是对拒绝延长投标有效期的投标人，招标人有权利拒绝其投标文件。</w:t>
      </w:r>
      <w:r>
        <w:rPr>
          <w:rFonts w:hint="eastAsia" w:hAnsi="宋体" w:cs="宋体"/>
          <w:szCs w:val="24"/>
        </w:rPr>
        <w:t>同意延长投标有效期的投标人既不能要求也不被允许修改其投标文件，但需要相应的延长投标担保的有效期；在延长的投标有效期内本须知第18条关于投标担保的相关规定仍然适用。</w:t>
      </w:r>
    </w:p>
    <w:p w14:paraId="6427DA6E">
      <w:pPr>
        <w:pStyle w:val="11"/>
        <w:spacing w:line="400" w:lineRule="exact"/>
        <w:rPr>
          <w:rFonts w:hint="eastAsia" w:hAnsi="宋体" w:cs="宋体"/>
          <w:szCs w:val="24"/>
        </w:rPr>
      </w:pPr>
      <w:r>
        <w:rPr>
          <w:rFonts w:hint="eastAsia" w:hAnsi="宋体" w:cs="宋体"/>
          <w:szCs w:val="24"/>
        </w:rPr>
        <w:t>18、投标担保、放弃投标、中标</w:t>
      </w:r>
    </w:p>
    <w:p w14:paraId="67F3AD30">
      <w:pPr>
        <w:pStyle w:val="11"/>
        <w:spacing w:line="400" w:lineRule="exact"/>
        <w:ind w:firstLine="480" w:firstLineChars="200"/>
        <w:rPr>
          <w:rFonts w:hint="eastAsia" w:hAnsi="宋体" w:cs="宋体"/>
          <w:szCs w:val="24"/>
        </w:rPr>
      </w:pPr>
      <w:r>
        <w:rPr>
          <w:rFonts w:hint="eastAsia" w:hAnsi="宋体" w:cs="宋体"/>
          <w:szCs w:val="24"/>
        </w:rPr>
        <w:t>18.1本工程投标担保采用投标保证金形式</w:t>
      </w:r>
      <w:r>
        <w:rPr>
          <w:rFonts w:hint="eastAsia" w:hAnsi="宋体" w:cs="宋体"/>
          <w:spacing w:val="10"/>
          <w:kern w:val="24"/>
          <w:szCs w:val="24"/>
        </w:rPr>
        <w:t>，</w:t>
      </w:r>
      <w:r>
        <w:rPr>
          <w:rFonts w:hint="eastAsia" w:hAnsi="宋体" w:cs="宋体"/>
          <w:szCs w:val="24"/>
        </w:rPr>
        <w:t>投标人应按照投标须知前附表的规定提交投标保证金并作为其投标文件的一部分。</w:t>
      </w:r>
    </w:p>
    <w:p w14:paraId="0A47F49D">
      <w:pPr>
        <w:pStyle w:val="11"/>
        <w:spacing w:line="400" w:lineRule="exact"/>
        <w:ind w:firstLine="480" w:firstLineChars="200"/>
        <w:rPr>
          <w:rFonts w:hint="eastAsia" w:hAnsi="宋体" w:cs="宋体"/>
          <w:szCs w:val="24"/>
        </w:rPr>
      </w:pPr>
      <w:r>
        <w:rPr>
          <w:rFonts w:hint="eastAsia" w:hAnsi="宋体" w:cs="宋体"/>
          <w:szCs w:val="24"/>
        </w:rPr>
        <w:t>18.2对于未能按上述第18.1条要求提交投标保证金的投标，招标人将视其为不响应招标文件，交由评标委员会予以确认后，不进入评审。</w:t>
      </w:r>
    </w:p>
    <w:p w14:paraId="057FED47">
      <w:pPr>
        <w:pStyle w:val="11"/>
        <w:spacing w:line="400" w:lineRule="exact"/>
        <w:ind w:firstLine="480" w:firstLineChars="200"/>
        <w:rPr>
          <w:rFonts w:hint="eastAsia" w:hAnsi="宋体" w:cs="宋体"/>
          <w:szCs w:val="24"/>
        </w:rPr>
      </w:pPr>
      <w:r>
        <w:rPr>
          <w:rFonts w:hint="eastAsia" w:hAnsi="宋体" w:cs="宋体"/>
          <w:szCs w:val="24"/>
        </w:rPr>
        <w:t>18.3投标保证金的退还见投标须知前附表的规定。</w:t>
      </w:r>
    </w:p>
    <w:p w14:paraId="17BE5FCA">
      <w:pPr>
        <w:kinsoku/>
        <w:autoSpaceDE/>
        <w:autoSpaceDN/>
        <w:adjustRightInd/>
        <w:snapToGrid/>
        <w:spacing w:line="400" w:lineRule="exact"/>
        <w:ind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18.4有下列情形之一的，投标保证金将不予退还：</w:t>
      </w:r>
    </w:p>
    <w:p w14:paraId="7D6D7530">
      <w:pPr>
        <w:kinsoku/>
        <w:autoSpaceDE/>
        <w:autoSpaceDN/>
        <w:adjustRightInd/>
        <w:snapToGrid/>
        <w:spacing w:line="400" w:lineRule="exact"/>
        <w:ind w:firstLine="240" w:firstLine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（1）投标截止后投标人撤销投标文件；</w:t>
      </w:r>
    </w:p>
    <w:p w14:paraId="6B35A41A">
      <w:pPr>
        <w:kinsoku/>
        <w:autoSpaceDE/>
        <w:autoSpaceDN/>
        <w:adjustRightInd/>
        <w:snapToGrid/>
        <w:spacing w:line="400" w:lineRule="exact"/>
        <w:ind w:left="398" w:leftChars="75" w:hanging="240" w:hanging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（2）中标人在收到中标通知书后，无正当理由不与招标人订立合同，在签订合同时向招标人提出附加条件，或者不按照招标文件要求提交履约保证金；</w:t>
      </w:r>
    </w:p>
    <w:p w14:paraId="03E5686B">
      <w:pPr>
        <w:kinsoku/>
        <w:autoSpaceDE/>
        <w:autoSpaceDN/>
        <w:adjustRightInd/>
        <w:snapToGrid/>
        <w:spacing w:line="400" w:lineRule="exact"/>
        <w:ind w:firstLine="240" w:firstLineChars="1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（3）招投标法律法规规定的其他不予退还投标保证金情形。</w:t>
      </w:r>
    </w:p>
    <w:p w14:paraId="12E384CD">
      <w:pPr>
        <w:pStyle w:val="11"/>
        <w:spacing w:line="400" w:lineRule="exact"/>
        <w:rPr>
          <w:rFonts w:hint="eastAsia" w:hAnsi="宋体" w:cs="宋体"/>
          <w:szCs w:val="24"/>
        </w:rPr>
      </w:pPr>
      <w:r>
        <w:rPr>
          <w:rFonts w:hint="eastAsia" w:hAnsi="宋体" w:cs="宋体"/>
          <w:szCs w:val="24"/>
        </w:rPr>
        <w:t>19、投标替代方案</w:t>
      </w:r>
    </w:p>
    <w:p w14:paraId="3D6A5B3A">
      <w:pPr>
        <w:pStyle w:val="11"/>
        <w:spacing w:line="400" w:lineRule="exact"/>
        <w:ind w:firstLine="480" w:firstLineChars="200"/>
        <w:rPr>
          <w:rFonts w:hint="eastAsia" w:hAnsi="宋体" w:cs="宋体"/>
          <w:szCs w:val="24"/>
        </w:rPr>
      </w:pPr>
      <w:r>
        <w:rPr>
          <w:rFonts w:hint="eastAsia" w:hAnsi="宋体" w:cs="宋体"/>
          <w:szCs w:val="24"/>
        </w:rPr>
        <w:t>19.1投标人所提交的方案应满足招标文件的要求。除非投标须知前附表中允许投标人提交替代方案，否则替代方案不予考虑。如果允许投标人提交替代方案，则执行以下第19.2条规定。</w:t>
      </w:r>
    </w:p>
    <w:p w14:paraId="343AA719">
      <w:pPr>
        <w:pStyle w:val="11"/>
        <w:spacing w:line="400" w:lineRule="exact"/>
        <w:ind w:firstLine="480" w:firstLineChars="200"/>
        <w:rPr>
          <w:rFonts w:hint="eastAsia" w:hAnsi="宋体" w:cs="宋体"/>
          <w:szCs w:val="24"/>
        </w:rPr>
      </w:pPr>
      <w:r>
        <w:rPr>
          <w:rFonts w:hint="eastAsia" w:hAnsi="宋体" w:cs="宋体"/>
          <w:szCs w:val="24"/>
        </w:rPr>
        <w:t>19.2如果投标须知前附表中允许投标人提交替代方案，则投标人除提交正式投标文件外，还应按照招标文件要求提交替代方案。替代方案应包括设计计算书、技术规范、单价分析表、替代方案报价书、所建议的施工方案等满足评审需要的全部资料。</w:t>
      </w:r>
    </w:p>
    <w:p w14:paraId="49293A8E">
      <w:pPr>
        <w:pStyle w:val="11"/>
        <w:spacing w:line="400" w:lineRule="exact"/>
        <w:rPr>
          <w:rFonts w:hint="eastAsia" w:hAnsi="宋体" w:cs="宋体"/>
          <w:szCs w:val="24"/>
        </w:rPr>
      </w:pPr>
      <w:r>
        <w:rPr>
          <w:rFonts w:hint="eastAsia" w:hAnsi="宋体" w:cs="宋体"/>
          <w:szCs w:val="24"/>
        </w:rPr>
        <w:t>20、投标文件的签署和份数</w:t>
      </w:r>
    </w:p>
    <w:p w14:paraId="4DB83692">
      <w:pPr>
        <w:pStyle w:val="11"/>
        <w:spacing w:line="400" w:lineRule="exact"/>
        <w:ind w:firstLine="480" w:firstLineChars="200"/>
        <w:rPr>
          <w:rFonts w:hint="eastAsia" w:hAnsi="宋体" w:cs="宋体"/>
          <w:szCs w:val="24"/>
        </w:rPr>
      </w:pPr>
      <w:r>
        <w:rPr>
          <w:rFonts w:hint="eastAsia" w:hAnsi="宋体" w:cs="宋体"/>
          <w:szCs w:val="24"/>
        </w:rPr>
        <w:t>20.1投标人应按投标须知前附表规定的份数和招标文件规定的格式编制并提交投标文件。</w:t>
      </w:r>
    </w:p>
    <w:p w14:paraId="2F1268D7">
      <w:pPr>
        <w:pStyle w:val="11"/>
        <w:spacing w:line="400" w:lineRule="exact"/>
        <w:ind w:firstLine="480" w:firstLineChars="200"/>
        <w:rPr>
          <w:rFonts w:hint="eastAsia" w:hAnsi="宋体" w:cs="宋体"/>
          <w:b/>
          <w:spacing w:val="-2"/>
          <w:szCs w:val="24"/>
        </w:rPr>
      </w:pPr>
      <w:r>
        <w:rPr>
          <w:rFonts w:hint="eastAsia" w:hAnsi="宋体" w:cs="宋体"/>
          <w:szCs w:val="24"/>
        </w:rPr>
        <w:t>20.2</w:t>
      </w:r>
      <w:r>
        <w:rPr>
          <w:rFonts w:hint="eastAsia" w:hAnsi="宋体" w:cs="宋体"/>
          <w:bCs/>
          <w:szCs w:val="24"/>
        </w:rPr>
        <w:t>投标文件格式中标明需签字或盖章的位置均应按要求签字或盖章、联合体共同投标协议书(若有)应加盖投标人电子签章并由法定代表人或其委托代理人电子签章。委托代理人签章的，在投标文件中须同时提交授权委托书；授权委托书</w:t>
      </w:r>
      <w:r>
        <w:rPr>
          <w:rFonts w:hint="eastAsia" w:hAnsi="宋体" w:cs="宋体"/>
          <w:bCs/>
          <w:spacing w:val="-2"/>
          <w:szCs w:val="24"/>
        </w:rPr>
        <w:t>应符合第四章“投标文件格式”要求，否则无效。以联合体共同投标的，提供的联合体共同投标协议书须有各成员单位的合法授权代表签章并加盖各成员单位电子签章。</w:t>
      </w:r>
    </w:p>
    <w:p w14:paraId="704CC5DC">
      <w:pPr>
        <w:pStyle w:val="11"/>
        <w:spacing w:line="400" w:lineRule="exact"/>
        <w:ind w:firstLine="480" w:firstLineChars="200"/>
        <w:rPr>
          <w:rFonts w:hint="eastAsia" w:hAnsi="宋体" w:cs="宋体"/>
          <w:szCs w:val="24"/>
        </w:rPr>
      </w:pPr>
      <w:r>
        <w:rPr>
          <w:rFonts w:hint="eastAsia" w:hAnsi="宋体" w:cs="宋体"/>
          <w:szCs w:val="24"/>
        </w:rPr>
        <w:t>20.3投标人按照本须知第20.2条规定对其投标文件签署盖章后，其投标文件所有内容均视为确认，对投标人起约束作用。</w:t>
      </w:r>
    </w:p>
    <w:p w14:paraId="4C4F8D3F">
      <w:pPr>
        <w:pStyle w:val="6"/>
        <w:spacing w:before="0" w:after="0" w:line="400" w:lineRule="exact"/>
        <w:rPr>
          <w:rFonts w:hint="eastAsia" w:ascii="宋体" w:hAnsi="宋体" w:eastAsia="宋体" w:cs="宋体"/>
          <w:color w:val="000000"/>
          <w:szCs w:val="24"/>
        </w:rPr>
      </w:pPr>
      <w:bookmarkStart w:id="18" w:name="_Toc306204885"/>
      <w:bookmarkStart w:id="19" w:name="_Toc7996"/>
      <w:r>
        <w:rPr>
          <w:rFonts w:hint="eastAsia" w:ascii="宋体" w:hAnsi="宋体" w:eastAsia="宋体" w:cs="宋体"/>
          <w:color w:val="000000"/>
          <w:szCs w:val="24"/>
        </w:rPr>
        <w:t>（五）投标文件的提交</w:t>
      </w:r>
      <w:bookmarkEnd w:id="18"/>
      <w:bookmarkEnd w:id="19"/>
    </w:p>
    <w:p w14:paraId="22EA7B56">
      <w:pPr>
        <w:pStyle w:val="11"/>
        <w:spacing w:line="400" w:lineRule="exact"/>
        <w:rPr>
          <w:rFonts w:hint="eastAsia" w:hAnsi="宋体" w:cs="宋体"/>
          <w:szCs w:val="24"/>
        </w:rPr>
      </w:pPr>
      <w:r>
        <w:rPr>
          <w:rFonts w:hint="eastAsia" w:hAnsi="宋体" w:cs="宋体"/>
          <w:szCs w:val="24"/>
        </w:rPr>
        <w:t>21、加密电子版投标文件的提交</w:t>
      </w:r>
    </w:p>
    <w:p w14:paraId="188A56BB">
      <w:pPr>
        <w:pStyle w:val="11"/>
        <w:spacing w:line="400" w:lineRule="exact"/>
        <w:ind w:firstLine="480" w:firstLineChars="200"/>
        <w:rPr>
          <w:rFonts w:hint="eastAsia" w:hAnsi="宋体" w:cs="宋体"/>
          <w:szCs w:val="24"/>
        </w:rPr>
      </w:pPr>
      <w:r>
        <w:rPr>
          <w:rFonts w:hint="eastAsia" w:hAnsi="宋体" w:cs="宋体"/>
          <w:szCs w:val="24"/>
        </w:rPr>
        <w:t>投标人应在投标截止时间之前，从网上递交加密电子版投标文件。未在投标截止时间前通过网上招投标系统递交加密电子版投标文件的，开标系统不予接收。投标截止时间后不再接受任何有关本项目资料。</w:t>
      </w:r>
    </w:p>
    <w:p w14:paraId="0E2DF829">
      <w:pPr>
        <w:pStyle w:val="11"/>
        <w:spacing w:line="400" w:lineRule="exact"/>
        <w:rPr>
          <w:rFonts w:hint="eastAsia" w:hAnsi="宋体" w:cs="宋体"/>
          <w:color w:val="000000"/>
          <w:szCs w:val="24"/>
        </w:rPr>
      </w:pPr>
      <w:r>
        <w:rPr>
          <w:rFonts w:hint="eastAsia" w:hAnsi="宋体" w:cs="宋体"/>
          <w:color w:val="000000"/>
          <w:szCs w:val="24"/>
        </w:rPr>
        <w:t>22、加密电子版投标文件的解密</w:t>
      </w:r>
    </w:p>
    <w:p w14:paraId="14960787">
      <w:pPr>
        <w:pStyle w:val="11"/>
        <w:spacing w:line="400" w:lineRule="exact"/>
        <w:ind w:firstLine="480" w:firstLineChars="200"/>
        <w:rPr>
          <w:rFonts w:hint="eastAsia" w:hAnsi="宋体" w:cs="宋体"/>
          <w:b/>
          <w:color w:val="FF0000"/>
          <w:szCs w:val="24"/>
        </w:rPr>
      </w:pPr>
      <w:r>
        <w:rPr>
          <w:rFonts w:hint="eastAsia" w:hAnsi="宋体" w:cs="宋体"/>
          <w:color w:val="000000"/>
          <w:szCs w:val="24"/>
        </w:rPr>
        <w:t>投标人应在解密程序开始后规定时间内（见前附表规定）完成加密电子版投标文件的解密工作。</w:t>
      </w:r>
      <w:bookmarkStart w:id="20" w:name="_Toc200336335"/>
      <w:bookmarkStart w:id="21" w:name="_Toc306204886"/>
    </w:p>
    <w:p w14:paraId="5AAB7638">
      <w:pPr>
        <w:pStyle w:val="6"/>
        <w:spacing w:before="0" w:after="0" w:line="400" w:lineRule="exact"/>
        <w:rPr>
          <w:rFonts w:hint="eastAsia" w:ascii="宋体" w:hAnsi="宋体" w:eastAsia="宋体" w:cs="宋体"/>
          <w:szCs w:val="24"/>
        </w:rPr>
      </w:pPr>
      <w:bookmarkStart w:id="22" w:name="_Toc17319"/>
      <w:r>
        <w:rPr>
          <w:rFonts w:hint="eastAsia" w:ascii="宋体" w:hAnsi="宋体" w:eastAsia="宋体" w:cs="宋体"/>
          <w:szCs w:val="24"/>
        </w:rPr>
        <w:t>（六）开标</w:t>
      </w:r>
      <w:bookmarkEnd w:id="20"/>
      <w:bookmarkEnd w:id="21"/>
      <w:bookmarkEnd w:id="22"/>
    </w:p>
    <w:p w14:paraId="7EE33AAD">
      <w:pPr>
        <w:pStyle w:val="11"/>
        <w:spacing w:line="400" w:lineRule="exact"/>
        <w:rPr>
          <w:rFonts w:hint="eastAsia" w:hAnsi="宋体" w:cs="宋体"/>
          <w:szCs w:val="24"/>
        </w:rPr>
      </w:pPr>
      <w:r>
        <w:rPr>
          <w:rFonts w:hint="eastAsia" w:hAnsi="宋体" w:cs="宋体"/>
          <w:szCs w:val="24"/>
        </w:rPr>
        <w:t>25、开标</w:t>
      </w:r>
    </w:p>
    <w:p w14:paraId="6E4EF41C">
      <w:pPr>
        <w:pStyle w:val="17"/>
        <w:tabs>
          <w:tab w:val="right" w:leader="dot" w:pos="8778"/>
          <w:tab w:val="clear" w:pos="9345"/>
        </w:tabs>
        <w:spacing w:line="400" w:lineRule="exact"/>
        <w:ind w:firstLine="482" w:firstLineChars="200"/>
        <w:rPr>
          <w:rFonts w:hint="eastAsia" w:hAnsi="宋体" w:cs="宋体"/>
          <w:sz w:val="24"/>
          <w:szCs w:val="24"/>
          <w:shd w:val="clear" w:color="auto" w:fill="FFFFFF"/>
          <w:lang w:bidi="ar"/>
        </w:rPr>
      </w:pPr>
      <w:r>
        <w:rPr>
          <w:rFonts w:hint="eastAsia" w:hAnsi="宋体" w:cs="宋体"/>
          <w:b/>
          <w:sz w:val="24"/>
          <w:szCs w:val="24"/>
          <w:shd w:val="clear" w:color="auto" w:fill="FFFFFF"/>
          <w:lang w:bidi="ar"/>
        </w:rPr>
        <w:t>25.1本项目采用不见面开标方式，投标人无需到开标现场。招标人应当按照本项目招标文件规定的时间和地点公开开标，投标人必须参加开标会议。参加本项目的投标人应提前准备好电脑、耳麦等相关设备，确保开标顺利进行，如因设备造成的问题由投标人自行负责。</w:t>
      </w:r>
    </w:p>
    <w:p w14:paraId="65F7BA59">
      <w:pPr>
        <w:pStyle w:val="11"/>
        <w:spacing w:line="400" w:lineRule="exact"/>
        <w:ind w:firstLine="602" w:firstLineChars="250"/>
        <w:rPr>
          <w:rFonts w:hint="eastAsia" w:hAnsi="宋体" w:cs="宋体"/>
          <w:b/>
          <w:szCs w:val="24"/>
        </w:rPr>
      </w:pPr>
      <w:r>
        <w:rPr>
          <w:rFonts w:hint="eastAsia" w:hAnsi="宋体" w:cs="宋体"/>
          <w:b/>
          <w:szCs w:val="24"/>
        </w:rPr>
        <w:t>25.2开标由招标人或招标代理机构主持，主持人并按下列程序进行：</w:t>
      </w:r>
    </w:p>
    <w:p w14:paraId="6BB4E2FD">
      <w:pPr>
        <w:pStyle w:val="11"/>
        <w:spacing w:line="400" w:lineRule="exact"/>
        <w:ind w:firstLine="602" w:firstLineChars="250"/>
        <w:rPr>
          <w:rFonts w:hint="eastAsia" w:hAnsi="宋体" w:cs="宋体"/>
          <w:b/>
          <w:szCs w:val="24"/>
        </w:rPr>
      </w:pPr>
      <w:r>
        <w:rPr>
          <w:rFonts w:hint="eastAsia" w:hAnsi="宋体" w:cs="宋体"/>
          <w:b/>
          <w:szCs w:val="24"/>
        </w:rPr>
        <w:t>25.2.1宣布开标纪律；</w:t>
      </w:r>
    </w:p>
    <w:p w14:paraId="1574EB04">
      <w:pPr>
        <w:pStyle w:val="11"/>
        <w:spacing w:line="400" w:lineRule="exact"/>
        <w:ind w:firstLine="602" w:firstLineChars="250"/>
        <w:rPr>
          <w:rFonts w:hint="eastAsia" w:hAnsi="宋体" w:cs="宋体"/>
          <w:b/>
          <w:szCs w:val="24"/>
        </w:rPr>
      </w:pPr>
      <w:r>
        <w:rPr>
          <w:rFonts w:hint="eastAsia" w:hAnsi="宋体" w:cs="宋体"/>
          <w:b/>
          <w:szCs w:val="24"/>
        </w:rPr>
        <w:t>25.2.2宣布开标人、唱标人、记录人、监标人等有关人员姓名；</w:t>
      </w:r>
    </w:p>
    <w:p w14:paraId="4168A988">
      <w:pPr>
        <w:pStyle w:val="11"/>
        <w:spacing w:line="400" w:lineRule="exact"/>
        <w:ind w:firstLine="602" w:firstLineChars="250"/>
        <w:rPr>
          <w:rFonts w:hint="eastAsia" w:hAnsi="宋体" w:cs="宋体"/>
          <w:b/>
          <w:color w:val="FF0000"/>
          <w:szCs w:val="24"/>
        </w:rPr>
      </w:pPr>
      <w:r>
        <w:rPr>
          <w:rFonts w:hint="eastAsia" w:hAnsi="宋体" w:cs="宋体"/>
          <w:b/>
          <w:szCs w:val="24"/>
        </w:rPr>
        <w:t>25.2.3公布在投标截止时间前递交投标文件的投标人名称。</w:t>
      </w:r>
    </w:p>
    <w:p w14:paraId="673C9F45">
      <w:pPr>
        <w:kinsoku/>
        <w:autoSpaceDE/>
        <w:autoSpaceDN/>
        <w:adjustRightInd/>
        <w:snapToGrid/>
        <w:spacing w:line="400" w:lineRule="exact"/>
        <w:ind w:firstLine="480" w:firstLineChars="200"/>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25.2.4投标人依次解密，并在规定时间内（见前附表规定）完成加密电子版投标文件的解密工作,解密要求详见前附表。</w:t>
      </w:r>
    </w:p>
    <w:p w14:paraId="1BB7043E">
      <w:pPr>
        <w:pStyle w:val="11"/>
        <w:spacing w:line="400" w:lineRule="exact"/>
        <w:ind w:firstLine="480" w:firstLineChars="200"/>
        <w:rPr>
          <w:rFonts w:hint="eastAsia" w:hAnsi="宋体" w:cs="宋体"/>
          <w:bCs/>
          <w:szCs w:val="24"/>
        </w:rPr>
      </w:pPr>
      <w:r>
        <w:rPr>
          <w:rFonts w:hint="eastAsia" w:hAnsi="宋体" w:cs="宋体"/>
          <w:bCs/>
          <w:szCs w:val="24"/>
        </w:rPr>
        <w:t>25.2.5按照招标文件的规定确定并宣布投标文件开标顺序；</w:t>
      </w:r>
    </w:p>
    <w:p w14:paraId="572A80C2">
      <w:pPr>
        <w:spacing w:line="400" w:lineRule="exact"/>
        <w:ind w:left="48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25.2.6设有最高限价的，公布最高限价；</w:t>
      </w:r>
    </w:p>
    <w:p w14:paraId="149A8233">
      <w:pPr>
        <w:spacing w:line="400" w:lineRule="exact"/>
        <w:ind w:left="3" w:firstLine="4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25.2.7按照宣布的开标顺序当众开标，</w:t>
      </w:r>
      <w:r>
        <w:rPr>
          <w:rFonts w:hint="eastAsia" w:ascii="宋体" w:hAnsi="宋体" w:eastAsia="宋体" w:cs="宋体"/>
          <w:spacing w:val="-3"/>
          <w:sz w:val="24"/>
          <w:szCs w:val="24"/>
          <w:lang w:eastAsia="zh-CN"/>
        </w:rPr>
        <w:t>公布投标人名称、标段名称、投标保证金的</w:t>
      </w:r>
      <w:r>
        <w:rPr>
          <w:rFonts w:hint="eastAsia" w:ascii="宋体" w:hAnsi="宋体" w:eastAsia="宋体" w:cs="宋体"/>
          <w:spacing w:val="-2"/>
          <w:sz w:val="24"/>
          <w:szCs w:val="24"/>
          <w:lang w:eastAsia="zh-CN"/>
        </w:rPr>
        <w:t>递交情况、投标报价、质量目标、工期及其他内</w:t>
      </w:r>
      <w:r>
        <w:rPr>
          <w:rFonts w:hint="eastAsia" w:ascii="宋体" w:hAnsi="宋体" w:eastAsia="宋体" w:cs="宋体"/>
          <w:spacing w:val="-3"/>
          <w:sz w:val="24"/>
          <w:szCs w:val="24"/>
          <w:lang w:eastAsia="zh-CN"/>
        </w:rPr>
        <w:t>容，并进行记录；</w:t>
      </w:r>
    </w:p>
    <w:p w14:paraId="06818B57">
      <w:pPr>
        <w:spacing w:line="400" w:lineRule="exact"/>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25.2.8招标人代表、监标人、记录人等有关人员在开标</w:t>
      </w:r>
      <w:r>
        <w:rPr>
          <w:rFonts w:hint="eastAsia" w:ascii="宋体" w:hAnsi="宋体" w:eastAsia="宋体" w:cs="宋体"/>
          <w:spacing w:val="-3"/>
          <w:sz w:val="24"/>
          <w:szCs w:val="24"/>
          <w:lang w:eastAsia="zh-CN"/>
        </w:rPr>
        <w:t>记录上签字确认；</w:t>
      </w:r>
    </w:p>
    <w:p w14:paraId="32CB2D8C">
      <w:pPr>
        <w:spacing w:line="400" w:lineRule="exact"/>
        <w:ind w:left="485"/>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25.2.9开标结束。</w:t>
      </w:r>
    </w:p>
    <w:p w14:paraId="379F1C64">
      <w:pPr>
        <w:spacing w:line="400" w:lineRule="exact"/>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25.3招标人或其委托的招标代理机构对</w:t>
      </w:r>
      <w:r>
        <w:rPr>
          <w:rFonts w:hint="eastAsia" w:ascii="宋体" w:hAnsi="宋体" w:eastAsia="宋体" w:cs="宋体"/>
          <w:spacing w:val="-2"/>
          <w:sz w:val="24"/>
          <w:szCs w:val="24"/>
          <w:lang w:eastAsia="zh-CN"/>
        </w:rPr>
        <w:t>开标过程进行记录，并存档备查。</w:t>
      </w:r>
    </w:p>
    <w:p w14:paraId="6E10FB92">
      <w:pPr>
        <w:pStyle w:val="11"/>
        <w:spacing w:line="400" w:lineRule="exact"/>
        <w:ind w:firstLine="520" w:firstLineChars="250"/>
        <w:rPr>
          <w:rFonts w:hint="eastAsia" w:hAnsi="宋体" w:cs="宋体"/>
          <w:spacing w:val="-17"/>
          <w:szCs w:val="24"/>
        </w:rPr>
      </w:pPr>
      <w:r>
        <w:rPr>
          <w:rFonts w:hint="eastAsia" w:hAnsi="宋体" w:cs="宋体"/>
          <w:spacing w:val="-16"/>
          <w:szCs w:val="24"/>
        </w:rPr>
        <w:t>26、投标人登录“六安市公共资源交易不见面开标系统”，网址</w:t>
      </w:r>
      <w:r>
        <w:rPr>
          <w:rFonts w:hint="eastAsia" w:hAnsi="宋体" w:cs="宋体"/>
          <w:spacing w:val="-17"/>
          <w:szCs w:val="24"/>
        </w:rPr>
        <w:t>为：</w:t>
      </w:r>
    </w:p>
    <w:p w14:paraId="1C9008AD">
      <w:pPr>
        <w:pStyle w:val="11"/>
        <w:spacing w:line="400" w:lineRule="exact"/>
        <w:rPr>
          <w:rFonts w:hint="eastAsia" w:hAnsi="宋体" w:cs="宋体"/>
          <w:b/>
          <w:szCs w:val="24"/>
        </w:rPr>
      </w:pPr>
      <w:r>
        <w:fldChar w:fldCharType="begin"/>
      </w:r>
      <w:r>
        <w:instrText xml:space="preserve"> HYPERLINK "http://183.162.78.64:9016/BidOpening/bidopeninghallaction/hall/login" </w:instrText>
      </w:r>
      <w:r>
        <w:fldChar w:fldCharType="separate"/>
      </w:r>
      <w:r>
        <w:rPr>
          <w:rFonts w:hint="eastAsia" w:hAnsi="宋体" w:cs="宋体"/>
          <w:szCs w:val="24"/>
        </w:rPr>
        <w:t>http://183.162.78.64:9016/BidOpening/bidope</w:t>
      </w:r>
      <w:r>
        <w:rPr>
          <w:rFonts w:hint="eastAsia" w:hAnsi="宋体" w:cs="宋体"/>
          <w:spacing w:val="-1"/>
          <w:szCs w:val="24"/>
        </w:rPr>
        <w:t>ninghallaction/hall/login</w:t>
      </w:r>
      <w:r>
        <w:rPr>
          <w:rFonts w:hint="eastAsia" w:hAnsi="宋体" w:cs="宋体"/>
          <w:spacing w:val="-1"/>
          <w:szCs w:val="24"/>
        </w:rPr>
        <w:fldChar w:fldCharType="end"/>
      </w:r>
      <w:r>
        <w:rPr>
          <w:rFonts w:hint="eastAsia" w:hAnsi="宋体" w:cs="宋体"/>
          <w:spacing w:val="-1"/>
          <w:szCs w:val="24"/>
        </w:rPr>
        <w:t>，观看开</w:t>
      </w:r>
      <w:r>
        <w:rPr>
          <w:rFonts w:hint="eastAsia" w:hAnsi="宋体" w:cs="宋体"/>
          <w:spacing w:val="-3"/>
          <w:szCs w:val="24"/>
        </w:rPr>
        <w:t>标现场音视频直播并进行互动交流和监督。</w:t>
      </w:r>
    </w:p>
    <w:p w14:paraId="5CA99968">
      <w:pPr>
        <w:pStyle w:val="6"/>
        <w:spacing w:before="0" w:after="0" w:line="400" w:lineRule="exact"/>
        <w:rPr>
          <w:rFonts w:hint="eastAsia" w:ascii="宋体" w:hAnsi="宋体" w:eastAsia="宋体" w:cs="宋体"/>
          <w:szCs w:val="24"/>
        </w:rPr>
      </w:pPr>
      <w:bookmarkStart w:id="23" w:name="_Toc7086"/>
      <w:bookmarkStart w:id="24" w:name="_Toc306204887"/>
      <w:bookmarkStart w:id="25" w:name="_Toc200336336"/>
      <w:r>
        <w:rPr>
          <w:rFonts w:hint="eastAsia" w:ascii="宋体" w:hAnsi="宋体" w:eastAsia="宋体" w:cs="宋体"/>
          <w:szCs w:val="24"/>
        </w:rPr>
        <w:t>（七）评标、定标</w:t>
      </w:r>
      <w:bookmarkEnd w:id="23"/>
      <w:bookmarkEnd w:id="24"/>
      <w:bookmarkEnd w:id="25"/>
    </w:p>
    <w:p w14:paraId="716F0C56">
      <w:pPr>
        <w:pStyle w:val="11"/>
        <w:spacing w:line="400" w:lineRule="exact"/>
        <w:rPr>
          <w:rFonts w:hint="eastAsia" w:hAnsi="宋体" w:cs="宋体"/>
          <w:szCs w:val="24"/>
        </w:rPr>
      </w:pPr>
      <w:r>
        <w:rPr>
          <w:rFonts w:hint="eastAsia" w:hAnsi="宋体" w:cs="宋体"/>
          <w:szCs w:val="24"/>
        </w:rPr>
        <w:t>27、评标委员会与评标</w:t>
      </w:r>
    </w:p>
    <w:p w14:paraId="4C392C1D">
      <w:pPr>
        <w:pStyle w:val="11"/>
        <w:spacing w:line="400" w:lineRule="exact"/>
        <w:ind w:firstLine="480" w:firstLineChars="200"/>
        <w:rPr>
          <w:rFonts w:hint="eastAsia" w:hAnsi="宋体" w:cs="宋体"/>
          <w:szCs w:val="24"/>
        </w:rPr>
      </w:pPr>
      <w:r>
        <w:rPr>
          <w:rFonts w:hint="eastAsia" w:hAnsi="宋体" w:cs="宋体"/>
          <w:szCs w:val="24"/>
        </w:rPr>
        <w:t>27.1评标委员会由招标人依法组建，评标委员会的专家成员从依法建立的评标专家库中采用电脑随机抽签方式确定，评标活动由评标委员会负责。评标委员会主任</w:t>
      </w:r>
      <w:bookmarkStart w:id="26" w:name="OLE_LINK1"/>
      <w:r>
        <w:rPr>
          <w:rFonts w:hint="eastAsia" w:hAnsi="宋体" w:cs="宋体"/>
          <w:szCs w:val="24"/>
          <w:u w:color="FF0000"/>
        </w:rPr>
        <w:t>应</w:t>
      </w:r>
      <w:r>
        <w:rPr>
          <w:rFonts w:hint="eastAsia" w:hAnsi="宋体" w:cs="宋体"/>
          <w:szCs w:val="24"/>
        </w:rPr>
        <w:t>由</w:t>
      </w:r>
      <w:bookmarkEnd w:id="26"/>
      <w:r>
        <w:rPr>
          <w:rFonts w:hint="eastAsia" w:hAnsi="宋体" w:cs="宋体"/>
          <w:szCs w:val="24"/>
        </w:rPr>
        <w:t>职称较高、经验丰富、原则性强的专家评委担任，业主评委不得担任评标委员会主任。</w:t>
      </w:r>
    </w:p>
    <w:p w14:paraId="485E2B87">
      <w:pPr>
        <w:pStyle w:val="11"/>
        <w:spacing w:line="400" w:lineRule="exact"/>
        <w:ind w:firstLine="480" w:firstLineChars="200"/>
        <w:rPr>
          <w:rFonts w:hint="eastAsia" w:hAnsi="宋体" w:cs="宋体"/>
          <w:szCs w:val="24"/>
        </w:rPr>
      </w:pPr>
      <w:r>
        <w:rPr>
          <w:rFonts w:hint="eastAsia" w:hAnsi="宋体" w:cs="宋体"/>
          <w:szCs w:val="24"/>
        </w:rPr>
        <w:t>27.2开标结束后，开始评标，评标采用保密方式进行。</w:t>
      </w:r>
    </w:p>
    <w:p w14:paraId="5FB8AF7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27.3评标委员会应详细审查投标人、投标项目经理（建造师）及项目班子成员的资质和资格情况。投标人存在以下情形之一的，审查不予通过，否决其投标：</w:t>
      </w:r>
    </w:p>
    <w:p w14:paraId="4B301E67">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（一）投标人不满足招标文件载明的企业资质、项目负责人资格、业绩条件（若有）等资格和标准的；</w:t>
      </w:r>
    </w:p>
    <w:p w14:paraId="100B3BC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（二）投标联合体没有提交联合体协议的；</w:t>
      </w:r>
    </w:p>
    <w:p w14:paraId="1A00D30E">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（三）同一个投标人对同一标段提交两个以上不同的投标文件或者投标报价的；</w:t>
      </w:r>
    </w:p>
    <w:p w14:paraId="2CAD757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（四）项目经理、技术负责人不是本单位工作人员的；</w:t>
      </w:r>
    </w:p>
    <w:p w14:paraId="157F09C1">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（五）项目经理有在建工程（包括已中标待建工程）的；</w:t>
      </w:r>
    </w:p>
    <w:p w14:paraId="45A5F034">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（六）投标人未按照招标文件的要求提交投标保证金的；</w:t>
      </w:r>
    </w:p>
    <w:p w14:paraId="09FCD27C">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七）投标人被县级及以上建设行政主管部门/房屋建筑和市政基础设施工程招标投标活动的监督部门暂停或取消本次招标项目工程所在地或公共资源交易平台所在地的投标资格或限制投标资格，且处于有效期内的；</w:t>
      </w:r>
    </w:p>
    <w:p w14:paraId="43239F7C">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（八）投标报价高于最高限价的；</w:t>
      </w:r>
    </w:p>
    <w:p w14:paraId="48AA39FA">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（九）不同投标人的投标文件检测码一致的；</w:t>
      </w:r>
    </w:p>
    <w:p w14:paraId="457F152B">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（十）被列入严重违法失信企业名录的；</w:t>
      </w:r>
    </w:p>
    <w:p w14:paraId="375BFB4C">
      <w:pPr>
        <w:pStyle w:val="2"/>
        <w:spacing w:after="0" w:line="400" w:lineRule="exact"/>
        <w:ind w:left="46" w:leftChars="22" w:right="63" w:firstLineChars="175"/>
        <w:jc w:val="both"/>
        <w:rPr>
          <w:rFonts w:hint="eastAsia" w:ascii="宋体" w:hAnsi="宋体" w:cs="宋体"/>
          <w:szCs w:val="24"/>
        </w:rPr>
      </w:pPr>
      <w:r>
        <w:rPr>
          <w:rFonts w:hint="eastAsia" w:ascii="宋体" w:hAnsi="宋体" w:cs="宋体"/>
          <w:szCs w:val="24"/>
        </w:rPr>
        <w:t>（十一）被列入重大税收违法案件当事人的；</w:t>
      </w:r>
    </w:p>
    <w:p w14:paraId="5EC462EE">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（十二）被列入失信被执行人的；</w:t>
      </w:r>
    </w:p>
    <w:p w14:paraId="2F1439E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（十三）被列入拖欠农民工工资失信联合惩戒对象名单的；</w:t>
      </w:r>
    </w:p>
    <w:p w14:paraId="35FD120E">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（十四）依照招标文件的要求应当提交承诺函而未提交的或承诺的内容不符合招标文件要求，或未经法定代表人签署并加盖单位印章的；</w:t>
      </w:r>
    </w:p>
    <w:p w14:paraId="48AA6818">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（十五）不符合资格审查条件的其他情形。</w:t>
      </w:r>
    </w:p>
    <w:p w14:paraId="4C6845B9">
      <w:pPr>
        <w:pStyle w:val="11"/>
        <w:spacing w:line="400" w:lineRule="exact"/>
        <w:ind w:firstLine="480" w:firstLineChars="200"/>
        <w:rPr>
          <w:rFonts w:hint="eastAsia" w:hAnsi="宋体" w:cs="宋体"/>
          <w:szCs w:val="24"/>
        </w:rPr>
      </w:pPr>
      <w:r>
        <w:rPr>
          <w:rFonts w:hint="eastAsia" w:hAnsi="宋体" w:cs="宋体"/>
          <w:szCs w:val="24"/>
        </w:rPr>
        <w:t>27.4评标委员会应对投标文件进行雷同性检查，评标系统显示投标人的投标文件与其他投标人的投标文件制作机器码或文件创建识别码一致的，由评标委员会判定按废标处理并对上述评标系统显示一致的信息截图打印、签名确认；由公共资源交易监督管理部门进行调查，视情节记不良行为记录并扣除诚信分。调查结果符合《招标投标法实施条例》第四十条规定情形之一的，公共资源交易监督管理部门视情节依法取消其1至2年内参加依法必须进行招标项目投标资格。情节严重的移交公安机关处理。</w:t>
      </w:r>
    </w:p>
    <w:p w14:paraId="57479E5A">
      <w:pPr>
        <w:pStyle w:val="11"/>
        <w:spacing w:line="400" w:lineRule="exact"/>
        <w:rPr>
          <w:rFonts w:hint="eastAsia" w:hAnsi="宋体" w:cs="宋体"/>
          <w:szCs w:val="24"/>
        </w:rPr>
      </w:pPr>
      <w:r>
        <w:rPr>
          <w:rFonts w:hint="eastAsia" w:hAnsi="宋体" w:cs="宋体"/>
          <w:szCs w:val="24"/>
        </w:rPr>
        <w:t>28、评标过程的保密</w:t>
      </w:r>
    </w:p>
    <w:p w14:paraId="7192BBDB">
      <w:pPr>
        <w:pStyle w:val="11"/>
        <w:spacing w:line="400" w:lineRule="exact"/>
        <w:ind w:firstLine="480" w:firstLineChars="200"/>
        <w:rPr>
          <w:rFonts w:hint="eastAsia" w:hAnsi="宋体" w:cs="宋体"/>
          <w:szCs w:val="24"/>
        </w:rPr>
      </w:pPr>
      <w:r>
        <w:rPr>
          <w:rFonts w:hint="eastAsia" w:hAnsi="宋体" w:cs="宋体"/>
          <w:szCs w:val="24"/>
        </w:rPr>
        <w:t>28.1开标后，直至授予中标人合同为止，凡属于对投标文件的审查、澄清、评价和比较的有关资料以及中标候选人的推荐情况以及与评标有关的其他任何情况均严格保密。</w:t>
      </w:r>
    </w:p>
    <w:p w14:paraId="253DC69B">
      <w:pPr>
        <w:pStyle w:val="11"/>
        <w:spacing w:line="400" w:lineRule="exact"/>
        <w:ind w:firstLine="480" w:firstLineChars="200"/>
        <w:rPr>
          <w:rFonts w:hint="eastAsia" w:hAnsi="宋体" w:cs="宋体"/>
          <w:szCs w:val="24"/>
        </w:rPr>
      </w:pPr>
      <w:r>
        <w:rPr>
          <w:rFonts w:hint="eastAsia" w:hAnsi="宋体" w:cs="宋体"/>
          <w:szCs w:val="24"/>
        </w:rPr>
        <w:t>28.2在投标文件的评审和比较、中标候选人推荐以及授予合同的过程中，投标人向招标人和评标委员会施加影响的任何行为，都将会导致其投标被拒绝。</w:t>
      </w:r>
    </w:p>
    <w:p w14:paraId="4DF90080">
      <w:pPr>
        <w:pStyle w:val="11"/>
        <w:spacing w:line="400" w:lineRule="exact"/>
        <w:ind w:firstLine="480" w:firstLineChars="200"/>
        <w:rPr>
          <w:rFonts w:hint="eastAsia" w:hAnsi="宋体" w:cs="宋体"/>
          <w:szCs w:val="24"/>
        </w:rPr>
      </w:pPr>
      <w:r>
        <w:rPr>
          <w:rFonts w:hint="eastAsia" w:hAnsi="宋体" w:cs="宋体"/>
          <w:szCs w:val="24"/>
        </w:rPr>
        <w:t>28.3中标人确定后，招标人不对未中标人就评标过程以及未能中标原因作出任何解释。未中标人不得向评标委员会组成人员或其他有关人员索问评标过程的情况和材料。</w:t>
      </w:r>
    </w:p>
    <w:p w14:paraId="64950052">
      <w:pPr>
        <w:pStyle w:val="11"/>
        <w:spacing w:line="400" w:lineRule="exact"/>
        <w:rPr>
          <w:rFonts w:hint="eastAsia" w:hAnsi="宋体" w:cs="宋体"/>
          <w:szCs w:val="24"/>
        </w:rPr>
      </w:pPr>
      <w:r>
        <w:rPr>
          <w:rFonts w:hint="eastAsia" w:hAnsi="宋体" w:cs="宋体"/>
          <w:szCs w:val="24"/>
        </w:rPr>
        <w:t>29、投标文件的澄清</w:t>
      </w:r>
    </w:p>
    <w:p w14:paraId="433A311E">
      <w:pPr>
        <w:pStyle w:val="11"/>
        <w:spacing w:line="400" w:lineRule="exact"/>
        <w:ind w:firstLine="480" w:firstLineChars="200"/>
        <w:rPr>
          <w:rFonts w:hint="eastAsia" w:hAnsi="宋体" w:cs="宋体"/>
          <w:szCs w:val="24"/>
        </w:rPr>
      </w:pPr>
      <w:r>
        <w:rPr>
          <w:rFonts w:hint="eastAsia" w:hAnsi="宋体" w:cs="宋体"/>
          <w:szCs w:val="24"/>
        </w:rPr>
        <w:t>29.1为有助于对投标文件的审查、评价和比较，评标委员会可以要求投标人对投标文件中含义不明确的内容作必要的澄清或者说明，投标人应采用书面形式进行澄清或说明，但是澄清或者说明不得超出投标文件的范围或者改变投标文件的实质性内容。根据本须知第31条规定，凡属于评标委员会在评标中发现的计算错误进行修正的不在此列。</w:t>
      </w:r>
    </w:p>
    <w:p w14:paraId="2A7B11E2">
      <w:pPr>
        <w:pStyle w:val="11"/>
        <w:spacing w:line="400" w:lineRule="exact"/>
        <w:ind w:firstLine="480" w:firstLineChars="200"/>
        <w:rPr>
          <w:rFonts w:hint="eastAsia" w:hAnsi="宋体" w:cs="宋体"/>
          <w:szCs w:val="24"/>
        </w:rPr>
      </w:pPr>
      <w:r>
        <w:rPr>
          <w:rFonts w:hint="eastAsia" w:hAnsi="宋体" w:cs="宋体"/>
          <w:szCs w:val="24"/>
        </w:rPr>
        <w:t>29.2有下列情形之一的，评标时，评标委员会应当询标，要求投标人当场作出书面说明，评标委员会列举的投标文件中存在的问题应采用书面方式进行记录并由投标人的法定代表人或其委托代理人签字认可：</w:t>
      </w:r>
    </w:p>
    <w:p w14:paraId="4E69D79A">
      <w:pPr>
        <w:pStyle w:val="11"/>
        <w:spacing w:line="400" w:lineRule="exact"/>
        <w:ind w:firstLine="480" w:firstLineChars="200"/>
        <w:rPr>
          <w:rFonts w:hint="eastAsia" w:hAnsi="宋体" w:cs="宋体"/>
          <w:szCs w:val="24"/>
        </w:rPr>
      </w:pPr>
      <w:r>
        <w:rPr>
          <w:rFonts w:hint="eastAsia" w:hAnsi="宋体" w:cs="宋体"/>
          <w:szCs w:val="24"/>
        </w:rPr>
        <w:t>（1）设有最高限价的，投标报价低于最高限价合理幅度的；</w:t>
      </w:r>
    </w:p>
    <w:p w14:paraId="4D811A3E">
      <w:pPr>
        <w:pStyle w:val="11"/>
        <w:spacing w:line="400" w:lineRule="exact"/>
        <w:ind w:firstLine="480" w:firstLineChars="200"/>
        <w:rPr>
          <w:rFonts w:hint="eastAsia" w:hAnsi="宋体" w:cs="宋体"/>
          <w:szCs w:val="24"/>
        </w:rPr>
      </w:pPr>
      <w:r>
        <w:rPr>
          <w:rFonts w:hint="eastAsia" w:hAnsi="宋体" w:cs="宋体"/>
          <w:szCs w:val="24"/>
        </w:rPr>
        <w:t>（2）未设最高限价的，投标报价明显低于其他投标报价，有可能低于其企业成本的；</w:t>
      </w:r>
    </w:p>
    <w:p w14:paraId="6CD89A8E">
      <w:pPr>
        <w:pStyle w:val="11"/>
        <w:spacing w:line="400" w:lineRule="exact"/>
        <w:ind w:firstLine="480" w:firstLineChars="200"/>
        <w:rPr>
          <w:rFonts w:hint="eastAsia" w:hAnsi="宋体" w:cs="宋体"/>
          <w:szCs w:val="24"/>
        </w:rPr>
      </w:pPr>
      <w:r>
        <w:rPr>
          <w:rFonts w:hint="eastAsia" w:hAnsi="宋体" w:cs="宋体"/>
          <w:szCs w:val="24"/>
        </w:rPr>
        <w:t>经评标委员会论证，认定该投标人的报价低于其企业成本的，不能推荐为中标人或中标候选人，评标委员会写出结论性评标报告。</w:t>
      </w:r>
    </w:p>
    <w:p w14:paraId="4CAE3837">
      <w:pPr>
        <w:pStyle w:val="11"/>
        <w:spacing w:line="400" w:lineRule="exact"/>
        <w:rPr>
          <w:rFonts w:hint="eastAsia" w:hAnsi="宋体" w:cs="宋体"/>
          <w:szCs w:val="24"/>
        </w:rPr>
      </w:pPr>
      <w:r>
        <w:rPr>
          <w:rFonts w:hint="eastAsia" w:hAnsi="宋体" w:cs="宋体"/>
          <w:szCs w:val="24"/>
        </w:rPr>
        <w:t>30、投标文件的评审程序</w:t>
      </w:r>
    </w:p>
    <w:p w14:paraId="52AF6EEB">
      <w:pPr>
        <w:pStyle w:val="11"/>
        <w:spacing w:line="400" w:lineRule="exact"/>
        <w:ind w:firstLine="480" w:firstLineChars="200"/>
        <w:rPr>
          <w:rFonts w:hint="eastAsia" w:hAnsi="宋体" w:cs="宋体"/>
          <w:szCs w:val="24"/>
        </w:rPr>
      </w:pPr>
      <w:r>
        <w:rPr>
          <w:rFonts w:hint="eastAsia" w:hAnsi="宋体" w:cs="宋体"/>
          <w:bCs/>
          <w:szCs w:val="24"/>
        </w:rPr>
        <w:t>30.1</w:t>
      </w:r>
      <w:r>
        <w:rPr>
          <w:rFonts w:hint="eastAsia" w:hAnsi="宋体" w:cs="宋体"/>
          <w:szCs w:val="24"/>
        </w:rPr>
        <w:t>评标委员会应当根据招标文件有关规定，审查并逐项列出投标文件的全部投标偏差。投标偏差分重大偏差和细微偏差。</w:t>
      </w:r>
    </w:p>
    <w:p w14:paraId="2F3F1E84">
      <w:pPr>
        <w:pStyle w:val="11"/>
        <w:spacing w:line="400" w:lineRule="exact"/>
        <w:ind w:firstLine="480" w:firstLineChars="200"/>
        <w:rPr>
          <w:rFonts w:hint="eastAsia" w:hAnsi="宋体" w:cs="宋体"/>
          <w:szCs w:val="24"/>
        </w:rPr>
      </w:pPr>
      <w:r>
        <w:rPr>
          <w:rFonts w:hint="eastAsia" w:hAnsi="宋体" w:cs="宋体"/>
          <w:bCs/>
          <w:szCs w:val="24"/>
        </w:rPr>
        <w:t>30.2</w:t>
      </w:r>
      <w:r>
        <w:rPr>
          <w:rFonts w:hint="eastAsia" w:hAnsi="宋体" w:cs="宋体"/>
          <w:szCs w:val="24"/>
        </w:rPr>
        <w:t>投标偏差的界定和评审</w:t>
      </w:r>
    </w:p>
    <w:p w14:paraId="23826C12">
      <w:pPr>
        <w:pStyle w:val="11"/>
        <w:spacing w:line="400" w:lineRule="exact"/>
        <w:ind w:firstLine="470" w:firstLineChars="196"/>
        <w:rPr>
          <w:rFonts w:hint="eastAsia" w:hAnsi="宋体" w:cs="宋体"/>
          <w:szCs w:val="24"/>
        </w:rPr>
      </w:pPr>
      <w:r>
        <w:rPr>
          <w:rFonts w:hint="eastAsia" w:hAnsi="宋体" w:cs="宋体"/>
          <w:szCs w:val="24"/>
        </w:rPr>
        <w:t>30.2.1重大偏差的认定，投标文件有下列情形之一的，属于重大偏差，由评标委员会评审后按废标处理：</w:t>
      </w:r>
    </w:p>
    <w:p w14:paraId="5D78B844">
      <w:pPr>
        <w:pStyle w:val="11"/>
        <w:spacing w:line="400" w:lineRule="exact"/>
        <w:ind w:firstLine="360" w:firstLineChars="150"/>
        <w:rPr>
          <w:rFonts w:hint="eastAsia" w:hAnsi="宋体" w:cs="宋体"/>
          <w:bCs/>
          <w:szCs w:val="24"/>
        </w:rPr>
      </w:pPr>
      <w:r>
        <w:rPr>
          <w:rFonts w:hint="eastAsia" w:hAnsi="宋体" w:cs="宋体"/>
          <w:bCs/>
          <w:szCs w:val="24"/>
        </w:rPr>
        <w:t>(1)无单位电子签章或无法定代表人或法定代表人授权的代理人电子签章的；</w:t>
      </w:r>
    </w:p>
    <w:p w14:paraId="7B41FEB6">
      <w:pPr>
        <w:pStyle w:val="11"/>
        <w:spacing w:line="400" w:lineRule="exact"/>
        <w:ind w:firstLine="360" w:firstLineChars="150"/>
        <w:rPr>
          <w:rFonts w:hint="eastAsia" w:hAnsi="宋体" w:cs="宋体"/>
          <w:bCs/>
          <w:szCs w:val="24"/>
        </w:rPr>
      </w:pPr>
      <w:r>
        <w:rPr>
          <w:rFonts w:hint="eastAsia" w:hAnsi="宋体" w:cs="宋体"/>
          <w:szCs w:val="24"/>
        </w:rPr>
        <w:t>(</w:t>
      </w:r>
      <w:r>
        <w:rPr>
          <w:rFonts w:hint="eastAsia" w:hAnsi="宋体" w:cs="宋体"/>
          <w:bCs/>
          <w:szCs w:val="24"/>
        </w:rPr>
        <w:t>2)未按规定的格式填写，</w:t>
      </w:r>
      <w:r>
        <w:rPr>
          <w:rFonts w:hint="eastAsia" w:hAnsi="宋体" w:cs="宋体"/>
          <w:szCs w:val="24"/>
        </w:rPr>
        <w:t>实质性</w:t>
      </w:r>
      <w:r>
        <w:rPr>
          <w:rFonts w:hint="eastAsia" w:hAnsi="宋体" w:cs="宋体"/>
          <w:bCs/>
          <w:szCs w:val="24"/>
        </w:rPr>
        <w:t>内容不全或关键字迹模糊、无法辨认的；</w:t>
      </w:r>
    </w:p>
    <w:p w14:paraId="2DD58F8B">
      <w:pPr>
        <w:pStyle w:val="11"/>
        <w:spacing w:line="400" w:lineRule="exact"/>
        <w:ind w:firstLine="360" w:firstLineChars="150"/>
        <w:rPr>
          <w:rFonts w:hint="eastAsia" w:hAnsi="宋体" w:cs="宋体"/>
          <w:szCs w:val="24"/>
        </w:rPr>
      </w:pPr>
      <w:r>
        <w:rPr>
          <w:rFonts w:hint="eastAsia" w:hAnsi="宋体" w:cs="宋体"/>
          <w:szCs w:val="24"/>
        </w:rPr>
        <w:t>(3)组成联合体投标的投标人未附《联合体各方共同投标协议书》（资格予审时已经提交的除外）；</w:t>
      </w:r>
    </w:p>
    <w:p w14:paraId="74F0920C">
      <w:pPr>
        <w:pStyle w:val="11"/>
        <w:spacing w:line="400" w:lineRule="exact"/>
        <w:ind w:firstLine="360" w:firstLineChars="150"/>
        <w:rPr>
          <w:rFonts w:hint="eastAsia" w:hAnsi="宋体" w:cs="宋体"/>
          <w:szCs w:val="24"/>
        </w:rPr>
      </w:pPr>
      <w:r>
        <w:rPr>
          <w:rFonts w:hint="eastAsia" w:hAnsi="宋体" w:cs="宋体"/>
          <w:szCs w:val="24"/>
        </w:rPr>
        <w:t>(4)投标人递交两份或多份内容不同的投标文件，或在一份投标文件中对同一招标项目报有两个或多个报价，且未声明哪一个有效的。按招标文件规定提交备选投标方案的除外；</w:t>
      </w:r>
    </w:p>
    <w:p w14:paraId="4C1FCC4C">
      <w:pPr>
        <w:pStyle w:val="11"/>
        <w:spacing w:line="400" w:lineRule="exact"/>
        <w:ind w:firstLine="360" w:firstLineChars="150"/>
        <w:rPr>
          <w:rFonts w:hint="eastAsia" w:hAnsi="宋体" w:cs="宋体"/>
          <w:szCs w:val="24"/>
        </w:rPr>
      </w:pPr>
      <w:r>
        <w:rPr>
          <w:rFonts w:hint="eastAsia" w:hAnsi="宋体" w:cs="宋体"/>
          <w:szCs w:val="24"/>
        </w:rPr>
        <w:t>(5)投标文件明显不符合招标文件规定的报价、工期、质量标准、技术规格、施工方案评审文件标准或其它实质性要求；</w:t>
      </w:r>
    </w:p>
    <w:p w14:paraId="7AED55D9">
      <w:pPr>
        <w:pStyle w:val="11"/>
        <w:spacing w:line="400" w:lineRule="exact"/>
        <w:ind w:firstLine="360" w:firstLineChars="150"/>
        <w:rPr>
          <w:rFonts w:hint="eastAsia" w:hAnsi="宋体" w:cs="宋体"/>
          <w:szCs w:val="24"/>
        </w:rPr>
      </w:pPr>
      <w:r>
        <w:rPr>
          <w:rFonts w:hint="eastAsia" w:hAnsi="宋体" w:cs="宋体"/>
          <w:szCs w:val="24"/>
        </w:rPr>
        <w:t>(6)未按招标文件要求提交投标保证金的；</w:t>
      </w:r>
    </w:p>
    <w:p w14:paraId="7E0368A7">
      <w:pPr>
        <w:pStyle w:val="11"/>
        <w:spacing w:line="400" w:lineRule="exact"/>
        <w:ind w:firstLine="360" w:firstLineChars="150"/>
        <w:rPr>
          <w:rFonts w:hint="eastAsia" w:hAnsi="宋体" w:cs="宋体"/>
          <w:szCs w:val="24"/>
        </w:rPr>
      </w:pPr>
      <w:r>
        <w:rPr>
          <w:rFonts w:hint="eastAsia" w:hAnsi="宋体" w:cs="宋体"/>
          <w:szCs w:val="24"/>
        </w:rPr>
        <w:t>(7)投标文件中存在招标人不能接受的其它实质性条件或提供虚假文件；</w:t>
      </w:r>
    </w:p>
    <w:p w14:paraId="63D2D490">
      <w:pPr>
        <w:pStyle w:val="11"/>
        <w:spacing w:line="400" w:lineRule="exact"/>
        <w:ind w:firstLine="360" w:firstLineChars="150"/>
        <w:rPr>
          <w:rFonts w:hint="eastAsia" w:hAnsi="宋体" w:cs="宋体"/>
          <w:szCs w:val="24"/>
        </w:rPr>
      </w:pPr>
      <w:r>
        <w:rPr>
          <w:rFonts w:hint="eastAsia" w:hAnsi="宋体" w:cs="宋体"/>
          <w:szCs w:val="24"/>
        </w:rPr>
        <w:t>(8)投标人拒绝对细微偏差作出补正；</w:t>
      </w:r>
    </w:p>
    <w:p w14:paraId="2A3188EE">
      <w:pPr>
        <w:pStyle w:val="11"/>
        <w:spacing w:line="400" w:lineRule="exact"/>
        <w:ind w:firstLine="360" w:firstLineChars="150"/>
        <w:rPr>
          <w:rFonts w:hint="eastAsia" w:hAnsi="宋体" w:cs="宋体"/>
          <w:szCs w:val="24"/>
        </w:rPr>
      </w:pPr>
      <w:r>
        <w:rPr>
          <w:rFonts w:hint="eastAsia" w:hAnsi="宋体" w:cs="宋体"/>
          <w:szCs w:val="24"/>
        </w:rPr>
        <w:t>(9)投标文件中填报的项目经理（注册建造师）与资格审查通过的项目经理（注册建造师）前后不一致的；</w:t>
      </w:r>
    </w:p>
    <w:p w14:paraId="495EEC86">
      <w:pPr>
        <w:pStyle w:val="11"/>
        <w:spacing w:line="400" w:lineRule="exact"/>
        <w:ind w:firstLine="360" w:firstLineChars="150"/>
        <w:rPr>
          <w:rFonts w:hint="eastAsia" w:hAnsi="宋体" w:cs="宋体"/>
          <w:szCs w:val="24"/>
        </w:rPr>
      </w:pPr>
      <w:r>
        <w:rPr>
          <w:rFonts w:hint="eastAsia" w:hAnsi="宋体" w:cs="宋体"/>
          <w:szCs w:val="24"/>
        </w:rPr>
        <w:t>(10)投标文件中的其他重大偏差（包括缺项、漏项）：</w:t>
      </w:r>
    </w:p>
    <w:p w14:paraId="59A4B741">
      <w:pPr>
        <w:pStyle w:val="11"/>
        <w:spacing w:line="400" w:lineRule="exact"/>
        <w:ind w:firstLine="360" w:firstLineChars="150"/>
        <w:rPr>
          <w:rFonts w:hint="eastAsia" w:hAnsi="宋体" w:cs="宋体"/>
          <w:szCs w:val="24"/>
        </w:rPr>
      </w:pPr>
      <w:r>
        <w:rPr>
          <w:rFonts w:hint="eastAsia" w:hAnsi="宋体" w:cs="宋体"/>
          <w:szCs w:val="24"/>
        </w:rPr>
        <w:t>①当投标文件填报的工程量清单报价书中的分项、分部工程项目名称、内容、计量单位（未依照通用标准或法定标准）或者工程量，与招标人依照通用标准或法定标准提供的工程量清单中的分项、分部工程项目名称、内容、计量单位、工程量不一致，且不能比照细微偏差修正原则进行修正的。</w:t>
      </w:r>
    </w:p>
    <w:p w14:paraId="1F172C01">
      <w:pPr>
        <w:pStyle w:val="11"/>
        <w:spacing w:line="400" w:lineRule="exact"/>
        <w:ind w:firstLine="360" w:firstLineChars="150"/>
        <w:rPr>
          <w:rFonts w:hint="eastAsia" w:hAnsi="宋体" w:cs="宋体"/>
          <w:szCs w:val="24"/>
        </w:rPr>
      </w:pPr>
      <w:r>
        <w:rPr>
          <w:rFonts w:hint="eastAsia" w:hAnsi="宋体" w:cs="宋体"/>
          <w:szCs w:val="24"/>
        </w:rPr>
        <w:t>②不可竞争费用中安全文明施工费降低费率标准、税金降低费率标准和计费基数、或擅自减少不可竞争费用项目进行竞标的。</w:t>
      </w:r>
    </w:p>
    <w:p w14:paraId="56FFF1B6">
      <w:pPr>
        <w:pStyle w:val="11"/>
        <w:spacing w:line="400" w:lineRule="exact"/>
        <w:ind w:firstLine="360" w:firstLineChars="150"/>
        <w:rPr>
          <w:rFonts w:hint="eastAsia" w:hAnsi="宋体" w:cs="宋体"/>
          <w:szCs w:val="24"/>
        </w:rPr>
      </w:pPr>
      <w:r>
        <w:rPr>
          <w:rFonts w:hint="eastAsia" w:hAnsi="宋体" w:cs="宋体"/>
          <w:szCs w:val="24"/>
        </w:rPr>
        <w:t>③投标报价高于控制价（最高限价）的。</w:t>
      </w:r>
    </w:p>
    <w:p w14:paraId="33E8BAAB">
      <w:pPr>
        <w:pStyle w:val="11"/>
        <w:spacing w:line="400" w:lineRule="exact"/>
        <w:ind w:firstLine="360" w:firstLineChars="150"/>
        <w:rPr>
          <w:rFonts w:hint="eastAsia" w:hAnsi="宋体" w:cs="宋体"/>
          <w:bCs/>
          <w:szCs w:val="24"/>
        </w:rPr>
      </w:pPr>
      <w:r>
        <w:rPr>
          <w:rFonts w:hint="eastAsia" w:hAnsi="宋体" w:cs="宋体"/>
          <w:szCs w:val="24"/>
        </w:rPr>
        <w:t>④因投标人原因造成投标报价及其综合单价遗漏的工程项目、工程内容、工程数量、费用或计算错误等绝对值累计总额（高估冒算、多报费用不得抵消缺漏费用）占投标报价3%（含）以上的。</w:t>
      </w:r>
      <w:r>
        <w:rPr>
          <w:rFonts w:hint="eastAsia" w:hAnsi="宋体" w:cs="宋体"/>
          <w:bCs/>
          <w:szCs w:val="24"/>
        </w:rPr>
        <w:t>凡招标文件要求或者工程造价组成应计算的项目、费用而投标人未报，且投标文件未阐明充分理由、提供足够证据证明的，均视为缺漏项目或费用。</w:t>
      </w:r>
    </w:p>
    <w:p w14:paraId="024E0D03">
      <w:pPr>
        <w:pStyle w:val="11"/>
        <w:spacing w:line="400" w:lineRule="exact"/>
        <w:ind w:firstLine="360" w:firstLineChars="150"/>
        <w:rPr>
          <w:rFonts w:hint="eastAsia" w:hAnsi="宋体" w:cs="宋体"/>
          <w:szCs w:val="24"/>
        </w:rPr>
      </w:pPr>
      <w:r>
        <w:rPr>
          <w:rFonts w:hint="eastAsia" w:hAnsi="宋体" w:cs="宋体"/>
          <w:szCs w:val="24"/>
        </w:rPr>
        <w:t>⑤投标人拒不按照要求对投标文件进行澄清、说明、补正的，或者评标委员根据招标文件的规定对投标文件的计算错误进行修正后，投标人不接受修正后的投标报价的。</w:t>
      </w:r>
    </w:p>
    <w:p w14:paraId="0755EC3B">
      <w:pPr>
        <w:pStyle w:val="11"/>
        <w:spacing w:line="400" w:lineRule="exact"/>
        <w:ind w:firstLine="360" w:firstLineChars="150"/>
        <w:rPr>
          <w:rFonts w:hint="eastAsia" w:hAnsi="宋体" w:cs="宋体"/>
          <w:szCs w:val="24"/>
        </w:rPr>
      </w:pPr>
      <w:r>
        <w:rPr>
          <w:rFonts w:hint="eastAsia" w:hAnsi="宋体" w:cs="宋体"/>
          <w:szCs w:val="24"/>
        </w:rPr>
        <w:t>⑥投标报价中变更招标人提供的暂列金额或专业工程暂估价或暂定材料（设备）价格。</w:t>
      </w:r>
    </w:p>
    <w:p w14:paraId="0654597F">
      <w:pPr>
        <w:pStyle w:val="11"/>
        <w:spacing w:line="400" w:lineRule="exact"/>
        <w:ind w:firstLine="360" w:firstLineChars="150"/>
        <w:rPr>
          <w:rFonts w:hint="eastAsia" w:hAnsi="宋体" w:cs="宋体"/>
          <w:szCs w:val="24"/>
        </w:rPr>
      </w:pPr>
      <w:r>
        <w:rPr>
          <w:rFonts w:hint="eastAsia" w:hAnsi="宋体" w:cs="宋体"/>
          <w:szCs w:val="24"/>
        </w:rPr>
        <w:t>⑦投标人填报的材料、设备的品牌、数量、单位、规格型号、产地、技术参数(标准)等与招标文件要求不一致的。</w:t>
      </w:r>
    </w:p>
    <w:p w14:paraId="6CFA213C">
      <w:pPr>
        <w:pStyle w:val="11"/>
        <w:spacing w:line="400" w:lineRule="exact"/>
        <w:ind w:firstLine="360" w:firstLineChars="150"/>
        <w:rPr>
          <w:rFonts w:hint="eastAsia" w:hAnsi="宋体" w:cs="宋体"/>
          <w:szCs w:val="24"/>
        </w:rPr>
      </w:pPr>
      <w:r>
        <w:rPr>
          <w:rFonts w:hint="eastAsia" w:hAnsi="宋体" w:cs="宋体"/>
          <w:szCs w:val="24"/>
        </w:rPr>
        <w:t>⑧技术标文件或投标报价经评审委员会评审不合格的。</w:t>
      </w:r>
    </w:p>
    <w:p w14:paraId="52D9F003">
      <w:pPr>
        <w:pStyle w:val="11"/>
        <w:spacing w:line="400" w:lineRule="exact"/>
        <w:ind w:firstLine="360" w:firstLineChars="150"/>
        <w:rPr>
          <w:rFonts w:hint="eastAsia" w:hAnsi="宋体" w:cs="宋体"/>
          <w:szCs w:val="24"/>
        </w:rPr>
      </w:pPr>
      <w:r>
        <w:rPr>
          <w:rFonts w:hint="eastAsia" w:hAnsi="宋体" w:cs="宋体"/>
          <w:szCs w:val="24"/>
        </w:rPr>
        <w:t>⑨法律、法规规定的其它情形。</w:t>
      </w:r>
    </w:p>
    <w:p w14:paraId="0DD987B9">
      <w:pPr>
        <w:pStyle w:val="11"/>
        <w:spacing w:line="400" w:lineRule="exact"/>
        <w:ind w:firstLine="480" w:firstLineChars="200"/>
        <w:rPr>
          <w:rFonts w:hint="eastAsia" w:hAnsi="宋体" w:cs="宋体"/>
          <w:b/>
          <w:szCs w:val="24"/>
        </w:rPr>
      </w:pPr>
      <w:r>
        <w:rPr>
          <w:rFonts w:hint="eastAsia" w:hAnsi="宋体" w:cs="宋体"/>
          <w:szCs w:val="24"/>
        </w:rPr>
        <w:t>30.3细微偏差的认定：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对界定为细微偏差的应做相应调整，投标人应现场书面接受调整内容。</w:t>
      </w:r>
    </w:p>
    <w:p w14:paraId="6D387582">
      <w:pPr>
        <w:pStyle w:val="11"/>
        <w:spacing w:line="400" w:lineRule="exact"/>
        <w:ind w:firstLine="480" w:firstLineChars="200"/>
        <w:rPr>
          <w:rFonts w:hint="eastAsia" w:hAnsi="宋体" w:cs="宋体"/>
          <w:szCs w:val="24"/>
        </w:rPr>
      </w:pPr>
      <w:r>
        <w:rPr>
          <w:rFonts w:hint="eastAsia" w:hAnsi="宋体" w:cs="宋体"/>
          <w:szCs w:val="24"/>
        </w:rPr>
        <w:t>30.4投标文件的澄清：投标文件需澄清、说明或者补正的(包括补正投标报价)以及投标文件存在细微偏差需要补正的，评标委员会应当以书面形式进行询标，要求投标人进行书面澄清、说明、补正或确认，细微偏差的修正将由评委进行评审、解释，投标人的法定代表人或其委托代理人应签字认可。</w:t>
      </w:r>
    </w:p>
    <w:p w14:paraId="2A00EA00">
      <w:pPr>
        <w:pStyle w:val="11"/>
        <w:spacing w:line="400" w:lineRule="exact"/>
        <w:ind w:firstLine="480" w:firstLineChars="200"/>
        <w:rPr>
          <w:rFonts w:hint="eastAsia" w:hAnsi="宋体" w:cs="宋体"/>
          <w:szCs w:val="24"/>
        </w:rPr>
      </w:pPr>
      <w:r>
        <w:rPr>
          <w:rFonts w:hint="eastAsia" w:hAnsi="宋体" w:cs="宋体"/>
          <w:szCs w:val="24"/>
        </w:rPr>
        <w:t>30.5如果投标文件实质上不响应招标文件的各项要求，评标委员会将予以拒绝，并且不允许投标人通过修改或撤销其不符合要求的差异或保留，使之成为具有响应性的投标。</w:t>
      </w:r>
    </w:p>
    <w:p w14:paraId="001DB987">
      <w:pPr>
        <w:pStyle w:val="11"/>
        <w:spacing w:line="400" w:lineRule="exact"/>
        <w:ind w:firstLine="480" w:firstLineChars="200"/>
        <w:rPr>
          <w:rFonts w:hint="eastAsia" w:hAnsi="宋体" w:cs="宋体"/>
          <w:szCs w:val="24"/>
        </w:rPr>
      </w:pPr>
      <w:r>
        <w:rPr>
          <w:rFonts w:hint="eastAsia" w:hAnsi="宋体" w:cs="宋体"/>
          <w:szCs w:val="24"/>
        </w:rPr>
        <w:t>30.6经审查符合招标文件要求的有效投标文件，由评标委员会进行详细评审、比较。</w:t>
      </w:r>
    </w:p>
    <w:p w14:paraId="0F631403">
      <w:pPr>
        <w:pStyle w:val="11"/>
        <w:spacing w:line="400" w:lineRule="exact"/>
        <w:rPr>
          <w:rFonts w:hint="eastAsia" w:hAnsi="宋体" w:cs="宋体"/>
          <w:szCs w:val="24"/>
        </w:rPr>
      </w:pPr>
      <w:r>
        <w:rPr>
          <w:rFonts w:hint="eastAsia" w:hAnsi="宋体" w:cs="宋体"/>
          <w:szCs w:val="24"/>
        </w:rPr>
        <w:t>31、投标文件计算错误的修正</w:t>
      </w:r>
    </w:p>
    <w:p w14:paraId="670371C2">
      <w:pPr>
        <w:pStyle w:val="11"/>
        <w:spacing w:line="400" w:lineRule="exact"/>
        <w:ind w:firstLine="480" w:firstLineChars="200"/>
        <w:rPr>
          <w:rFonts w:hint="eastAsia" w:hAnsi="宋体" w:cs="宋体"/>
          <w:szCs w:val="24"/>
        </w:rPr>
      </w:pPr>
      <w:r>
        <w:rPr>
          <w:rFonts w:hint="eastAsia" w:hAnsi="宋体" w:cs="宋体"/>
          <w:szCs w:val="24"/>
        </w:rPr>
        <w:t>31.1评标委员会将对确定为实质上响应招标文件要求的投标文件进行校核，看其是否有计算或表达上的细微偏差，细微偏差的修正原则如下：</w:t>
      </w:r>
    </w:p>
    <w:p w14:paraId="7B7E7542">
      <w:pPr>
        <w:pStyle w:val="11"/>
        <w:spacing w:line="400" w:lineRule="exact"/>
        <w:ind w:firstLine="480" w:firstLineChars="200"/>
        <w:rPr>
          <w:rFonts w:hint="eastAsia" w:hAnsi="宋体" w:cs="宋体"/>
          <w:szCs w:val="24"/>
        </w:rPr>
      </w:pPr>
      <w:r>
        <w:rPr>
          <w:rFonts w:hint="eastAsia" w:hAnsi="宋体" w:cs="宋体"/>
          <w:szCs w:val="24"/>
        </w:rPr>
        <w:t>31.1.5投标文件中填报的投标报价、投标工期、工程质量标准前后不一致时，以投标函填报的为准。</w:t>
      </w:r>
    </w:p>
    <w:p w14:paraId="3D656C26">
      <w:pPr>
        <w:pStyle w:val="11"/>
        <w:spacing w:line="400" w:lineRule="exact"/>
        <w:ind w:firstLine="480" w:firstLineChars="200"/>
        <w:rPr>
          <w:rFonts w:hint="eastAsia" w:hAnsi="宋体" w:cs="宋体"/>
          <w:szCs w:val="24"/>
        </w:rPr>
      </w:pPr>
      <w:r>
        <w:rPr>
          <w:rFonts w:hint="eastAsia" w:hAnsi="宋体" w:cs="宋体"/>
          <w:szCs w:val="24"/>
        </w:rPr>
        <w:t>31.1.6投标文件中填写的工程名称、工程结构、建筑面积、层数有误时，以招标工程的实际内容为准，招标人的招标范围以招标公告和设计图纸内容为准，超过招标范围的部分招标无效并追究招标代理机构等及相关责任人的责任。</w:t>
      </w:r>
    </w:p>
    <w:p w14:paraId="76F2BB5A">
      <w:pPr>
        <w:pStyle w:val="11"/>
        <w:spacing w:line="400" w:lineRule="exact"/>
        <w:ind w:firstLine="480" w:firstLineChars="200"/>
        <w:rPr>
          <w:rFonts w:hint="eastAsia" w:hAnsi="宋体" w:cs="宋体"/>
          <w:szCs w:val="24"/>
        </w:rPr>
      </w:pPr>
      <w:r>
        <w:rPr>
          <w:rFonts w:hint="eastAsia" w:hAnsi="宋体" w:cs="宋体"/>
          <w:szCs w:val="24"/>
        </w:rPr>
        <w:t>31.2按上述修正错误的原则及方法调整或修正投标文件的投标报价，投标人同意后，调整后的投标报价对投标人起约束作用。如果投标人不接受修正后的报价，则其投标将被拒绝，并不影响评标工作。</w:t>
      </w:r>
    </w:p>
    <w:p w14:paraId="590A6BD2">
      <w:pPr>
        <w:pStyle w:val="11"/>
        <w:spacing w:line="400" w:lineRule="exact"/>
        <w:rPr>
          <w:rFonts w:hint="eastAsia" w:hAnsi="宋体" w:cs="宋体"/>
          <w:szCs w:val="24"/>
        </w:rPr>
      </w:pPr>
      <w:r>
        <w:rPr>
          <w:rFonts w:hint="eastAsia" w:hAnsi="宋体" w:cs="宋体"/>
          <w:szCs w:val="24"/>
        </w:rPr>
        <w:t>32、按照第30.4条款、第31条款规定进行澄清、补正后的投标报价经投标人的法定代表人或其委托代理人确认后即为该投标人的最终投标报价。投标人一旦中标，此报价即为中标价。</w:t>
      </w:r>
    </w:p>
    <w:p w14:paraId="7FD74881">
      <w:pPr>
        <w:pStyle w:val="11"/>
        <w:spacing w:line="400" w:lineRule="exact"/>
        <w:rPr>
          <w:rFonts w:hint="eastAsia" w:hAnsi="宋体" w:cs="宋体"/>
          <w:szCs w:val="24"/>
        </w:rPr>
      </w:pPr>
      <w:r>
        <w:rPr>
          <w:rFonts w:hint="eastAsia" w:hAnsi="宋体" w:cs="宋体"/>
          <w:szCs w:val="24"/>
        </w:rPr>
        <w:t>33、投标文件的评审、比较和否决</w:t>
      </w:r>
    </w:p>
    <w:p w14:paraId="01056851">
      <w:pPr>
        <w:pStyle w:val="11"/>
        <w:spacing w:line="400" w:lineRule="exact"/>
        <w:ind w:firstLine="480" w:firstLineChars="200"/>
        <w:rPr>
          <w:rFonts w:hint="eastAsia" w:hAnsi="宋体" w:cs="宋体"/>
          <w:szCs w:val="24"/>
        </w:rPr>
      </w:pPr>
      <w:r>
        <w:rPr>
          <w:rFonts w:hint="eastAsia" w:hAnsi="宋体" w:cs="宋体"/>
          <w:szCs w:val="24"/>
        </w:rPr>
        <w:t>33.1评标委员会将按照本须知第30条规定，仅对在实质上响应招标文件要求的投标文件进行评估和比较。</w:t>
      </w:r>
    </w:p>
    <w:p w14:paraId="477F8AD2">
      <w:pPr>
        <w:pStyle w:val="11"/>
        <w:spacing w:line="400" w:lineRule="exact"/>
        <w:ind w:firstLine="480" w:firstLineChars="200"/>
        <w:rPr>
          <w:rFonts w:hint="eastAsia" w:hAnsi="宋体" w:cs="宋体"/>
          <w:szCs w:val="24"/>
        </w:rPr>
      </w:pPr>
      <w:r>
        <w:rPr>
          <w:rFonts w:hint="eastAsia" w:hAnsi="宋体" w:cs="宋体"/>
          <w:szCs w:val="24"/>
        </w:rPr>
        <w:t>33.2在评审过程中,评标委员会可以书面形式要求投标人就投标文件中含义不明确的内容进行书面说明。</w:t>
      </w:r>
    </w:p>
    <w:p w14:paraId="02FD7841">
      <w:pPr>
        <w:pStyle w:val="11"/>
        <w:spacing w:line="400" w:lineRule="exact"/>
        <w:ind w:firstLine="480" w:firstLineChars="200"/>
        <w:rPr>
          <w:rFonts w:hint="eastAsia" w:hAnsi="宋体" w:cs="宋体"/>
          <w:szCs w:val="24"/>
        </w:rPr>
      </w:pPr>
      <w:r>
        <w:rPr>
          <w:rFonts w:hint="eastAsia" w:hAnsi="宋体" w:cs="宋体"/>
          <w:szCs w:val="24"/>
        </w:rPr>
        <w:t>33.3评标委员会依据招标文件规定的评标标准和方法，对合格投标文件分别进行评审和比较，通过评审的综合评分得分最高的投标人为第一名，即第一中标候选人；综合得分次低、第三低的投标人依次作为第二中标候选人和第三中标候选人。综合得分相同的,以投标报价低者优先;投标报价也相同的，由评标委员会确定中标候选人排序。</w:t>
      </w:r>
    </w:p>
    <w:p w14:paraId="50FB0C03">
      <w:pPr>
        <w:pStyle w:val="11"/>
        <w:spacing w:line="400" w:lineRule="exact"/>
        <w:ind w:firstLine="480" w:firstLineChars="200"/>
        <w:rPr>
          <w:rFonts w:hint="eastAsia" w:hAnsi="宋体" w:cs="宋体"/>
          <w:szCs w:val="24"/>
        </w:rPr>
      </w:pPr>
      <w:r>
        <w:rPr>
          <w:rFonts w:hint="eastAsia" w:hAnsi="宋体" w:cs="宋体"/>
          <w:szCs w:val="24"/>
        </w:rPr>
        <w:t>33.4招标人根据评标委员会提交的书面评标报告推荐的中标候选人，依据法律法规规章等规定确定中标人。招标人也可以授权评标委员会依据法律法规规章等规定直接确定中标人。</w:t>
      </w:r>
    </w:p>
    <w:p w14:paraId="4A08A3FC">
      <w:pPr>
        <w:pStyle w:val="11"/>
        <w:spacing w:line="400" w:lineRule="exact"/>
        <w:ind w:firstLine="480" w:firstLineChars="200"/>
        <w:rPr>
          <w:rFonts w:hint="eastAsia" w:hAnsi="宋体" w:cs="宋体"/>
          <w:szCs w:val="24"/>
        </w:rPr>
      </w:pPr>
      <w:r>
        <w:rPr>
          <w:rFonts w:hint="eastAsia" w:hAnsi="宋体" w:cs="宋体"/>
          <w:szCs w:val="24"/>
        </w:rPr>
        <w:t>33.5评标委员会经评审，认为所有投标都不符合招标文件要求的，应列出具体理由依法否决所有投标。所有投标被否决后，招标人应当依法重新招标。</w:t>
      </w:r>
    </w:p>
    <w:p w14:paraId="4887E3AC">
      <w:pPr>
        <w:pStyle w:val="11"/>
        <w:spacing w:line="400" w:lineRule="exact"/>
        <w:rPr>
          <w:rFonts w:hint="eastAsia" w:hAnsi="宋体" w:cs="宋体"/>
          <w:szCs w:val="24"/>
        </w:rPr>
      </w:pPr>
      <w:r>
        <w:rPr>
          <w:rFonts w:hint="eastAsia" w:hAnsi="宋体" w:cs="宋体"/>
          <w:szCs w:val="24"/>
        </w:rPr>
        <w:t>34、评标办法和程序</w:t>
      </w:r>
    </w:p>
    <w:p w14:paraId="20361142">
      <w:pPr>
        <w:pStyle w:val="11"/>
        <w:spacing w:line="400" w:lineRule="exact"/>
        <w:ind w:firstLine="480" w:firstLineChars="200"/>
        <w:rPr>
          <w:rFonts w:hint="eastAsia" w:hAnsi="宋体" w:cs="宋体"/>
          <w:szCs w:val="24"/>
        </w:rPr>
      </w:pPr>
      <w:r>
        <w:rPr>
          <w:rFonts w:hint="eastAsia" w:hAnsi="宋体" w:cs="宋体"/>
          <w:szCs w:val="24"/>
        </w:rPr>
        <w:t>34.1评标和定标工作不约请投标人参加，投标人对评标工作所提出的问题和意见，招标代理机构不作答复。</w:t>
      </w:r>
    </w:p>
    <w:p w14:paraId="5540C74C">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34.2评标办法：本项目采用（经评审的）综合评价法。</w:t>
      </w:r>
    </w:p>
    <w:p w14:paraId="312AA2E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评标程序：</w:t>
      </w:r>
    </w:p>
    <w:p w14:paraId="4BB827CC">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（1）采用资格预审招标的，先评技术标一、再评技术标二、最后开评商务标。技术标或</w:t>
      </w:r>
      <w:r>
        <w:rPr>
          <w:rFonts w:hint="eastAsia" w:ascii="宋体" w:hAnsi="宋体" w:eastAsia="宋体" w:cs="宋体"/>
          <w:snapToGrid/>
          <w:sz w:val="24"/>
          <w:szCs w:val="24"/>
          <w:u w:color="FF0000"/>
          <w:lang w:eastAsia="zh-CN"/>
        </w:rPr>
        <w:t>商务标</w:t>
      </w:r>
      <w:r>
        <w:rPr>
          <w:rFonts w:hint="eastAsia" w:ascii="宋体" w:hAnsi="宋体" w:eastAsia="宋体" w:cs="宋体"/>
          <w:snapToGrid/>
          <w:sz w:val="24"/>
          <w:szCs w:val="24"/>
          <w:lang w:eastAsia="zh-CN"/>
        </w:rPr>
        <w:t>评审未通过的，则不予评分；对通过技术标和商务标评审的投标文件进行综合评分。最后按照得分从高到低排出顺序并确定第一中标候选人、第二中标候选人和第三中标候选人。</w:t>
      </w:r>
    </w:p>
    <w:p w14:paraId="72DB9991">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（2）采用资格后审招标的，首先对投标人进行资格后审评审。资格后审评审通过的，对投标人先评技术标一、再评技术标二、最后开评商务标。技术标或</w:t>
      </w:r>
      <w:r>
        <w:rPr>
          <w:rFonts w:hint="eastAsia" w:ascii="宋体" w:hAnsi="宋体" w:eastAsia="宋体" w:cs="宋体"/>
          <w:snapToGrid/>
          <w:sz w:val="24"/>
          <w:szCs w:val="24"/>
          <w:u w:color="FF0000"/>
          <w:lang w:eastAsia="zh-CN"/>
        </w:rPr>
        <w:t>商务标</w:t>
      </w:r>
      <w:r>
        <w:rPr>
          <w:rFonts w:hint="eastAsia" w:ascii="宋体" w:hAnsi="宋体" w:eastAsia="宋体" w:cs="宋体"/>
          <w:snapToGrid/>
          <w:sz w:val="24"/>
          <w:szCs w:val="24"/>
          <w:lang w:eastAsia="zh-CN"/>
        </w:rPr>
        <w:t>评审未通过的，则不予评分；对通过技术标和商务标评审的投标文件进行综合评分。</w:t>
      </w:r>
      <w:r>
        <w:rPr>
          <w:rFonts w:hint="eastAsia" w:ascii="宋体" w:hAnsi="宋体" w:eastAsia="宋体" w:cs="宋体"/>
          <w:snapToGrid/>
          <w:sz w:val="24"/>
          <w:szCs w:val="24"/>
          <w:u w:color="FF0000"/>
          <w:lang w:eastAsia="zh-CN"/>
        </w:rPr>
        <w:t>最后</w:t>
      </w:r>
      <w:r>
        <w:rPr>
          <w:rFonts w:hint="eastAsia" w:ascii="宋体" w:hAnsi="宋体" w:eastAsia="宋体" w:cs="宋体"/>
          <w:snapToGrid/>
          <w:sz w:val="24"/>
          <w:szCs w:val="24"/>
          <w:lang w:eastAsia="zh-CN"/>
        </w:rPr>
        <w:t>按照得分从高到低排出顺序并确定第一中标候选人、第二中标候选人和第三中标候选人。</w:t>
      </w:r>
    </w:p>
    <w:p w14:paraId="6D9F556C">
      <w:pPr>
        <w:widowControl w:val="0"/>
        <w:kinsoku/>
        <w:autoSpaceDE/>
        <w:autoSpaceDN/>
        <w:adjustRightInd/>
        <w:snapToGrid/>
        <w:spacing w:line="400" w:lineRule="exact"/>
        <w:ind w:firstLine="600" w:firstLineChars="25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34.2.1技术标评审</w:t>
      </w:r>
    </w:p>
    <w:p w14:paraId="149CF2EB">
      <w:pPr>
        <w:widowControl w:val="0"/>
        <w:kinsoku/>
        <w:autoSpaceDE/>
        <w:autoSpaceDN/>
        <w:adjustRightInd/>
        <w:snapToGrid/>
        <w:spacing w:line="400"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评标委员会主要从以下几个方面对投标人的技术标进行评审打分。设计服务方案、施工组织设计的得分，必须从评委打分中去掉一个最高分和一个最低分后进行算术平均。</w:t>
      </w:r>
    </w:p>
    <w:p w14:paraId="641FDD63">
      <w:pPr>
        <w:widowControl w:val="0"/>
        <w:kinsoku/>
        <w:autoSpaceDE/>
        <w:autoSpaceDN/>
        <w:adjustRightInd/>
        <w:snapToGrid/>
        <w:spacing w:line="400" w:lineRule="exact"/>
        <w:ind w:firstLine="600" w:firstLineChars="25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(2)项目班子配备</w:t>
      </w:r>
    </w:p>
    <w:p w14:paraId="357D0BC3">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设计负责人、项目经理（注册建造师）：拟任设计负责人、项目经理（注册建造师）必须与资格审查合格通过的设计负责人、项目经理（注册建造师）在名称、专业、资质等级、类似工程业绩（若招标公告要求）等方面一致。</w:t>
      </w:r>
    </w:p>
    <w:p w14:paraId="193907CB">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lang w:eastAsia="zh-CN"/>
        </w:rPr>
        <w:t>2、</w:t>
      </w:r>
      <w:r>
        <w:rPr>
          <w:rFonts w:hint="eastAsia" w:ascii="宋体" w:hAnsi="宋体" w:eastAsia="宋体" w:cs="宋体"/>
          <w:snapToGrid/>
          <w:sz w:val="24"/>
          <w:szCs w:val="24"/>
          <w:highlight w:val="none"/>
          <w:lang w:eastAsia="zh-CN"/>
        </w:rPr>
        <w:t>项目技术负责人应具有与工程项目相适应专业的</w:t>
      </w:r>
      <w:r>
        <w:rPr>
          <w:rFonts w:hint="eastAsia" w:ascii="宋体" w:hAnsi="宋体" w:eastAsia="宋体" w:cs="宋体"/>
          <w:snapToGrid/>
          <w:sz w:val="24"/>
          <w:szCs w:val="24"/>
          <w:highlight w:val="none"/>
          <w:u w:val="single"/>
          <w:lang w:eastAsia="zh-CN"/>
        </w:rPr>
        <w:t>中级</w:t>
      </w:r>
      <w:r>
        <w:rPr>
          <w:rFonts w:hint="eastAsia" w:ascii="宋体" w:hAnsi="宋体" w:eastAsia="宋体" w:cs="宋体"/>
          <w:snapToGrid/>
          <w:sz w:val="24"/>
          <w:szCs w:val="24"/>
          <w:highlight w:val="none"/>
          <w:lang w:eastAsia="zh-CN"/>
        </w:rPr>
        <w:t>及以上职称，专业不配套按不实质性相应招标文件要求处理。</w:t>
      </w:r>
    </w:p>
    <w:p w14:paraId="3BECA2F4">
      <w:pPr>
        <w:widowControl w:val="0"/>
        <w:kinsoku/>
        <w:autoSpaceDE/>
        <w:autoSpaceDN/>
        <w:adjustRightInd/>
        <w:snapToGrid/>
        <w:spacing w:line="400" w:lineRule="exact"/>
        <w:ind w:firstLine="480" w:firstLineChars="200"/>
        <w:jc w:val="both"/>
        <w:textAlignment w:val="auto"/>
        <w:rPr>
          <w:rFonts w:hint="eastAsia" w:ascii="宋体" w:hAnsi="宋体" w:eastAsia="宋体" w:cs="宋体"/>
          <w:b/>
          <w:snapToGrid/>
          <w:sz w:val="24"/>
          <w:szCs w:val="24"/>
          <w:highlight w:val="none"/>
          <w:lang w:eastAsia="zh-CN"/>
        </w:rPr>
      </w:pPr>
      <w:r>
        <w:rPr>
          <w:rFonts w:hint="eastAsia" w:ascii="宋体" w:hAnsi="宋体" w:eastAsia="宋体" w:cs="宋体"/>
          <w:snapToGrid/>
          <w:sz w:val="24"/>
          <w:szCs w:val="24"/>
          <w:highlight w:val="none"/>
          <w:lang w:eastAsia="zh-CN"/>
        </w:rPr>
        <w:t>3、施工项目部关键岗位人员配备结构及数量标准：项目经理（建造师）、技术负责人、施工员（2名）、质量员（1名）、安全员（2名）、资料员（1名）、取样员（1名,可兼任）。人员配备结构和人数不符合要求，按不实质性响应招标文件要求处理。</w:t>
      </w:r>
    </w:p>
    <w:p w14:paraId="00344AED">
      <w:pPr>
        <w:kinsoku/>
        <w:autoSpaceDE/>
        <w:autoSpaceDN/>
        <w:adjustRightInd/>
        <w:snapToGrid/>
        <w:spacing w:line="400" w:lineRule="exact"/>
        <w:ind w:firstLine="480" w:firstLineChars="200"/>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bidi="ar"/>
        </w:rPr>
        <w:t>4、设计主要人员要求：除设计负责人外，</w:t>
      </w:r>
      <w:r>
        <w:rPr>
          <w:rFonts w:hint="eastAsia" w:ascii="宋体" w:hAnsi="宋体" w:eastAsia="宋体" w:cs="宋体"/>
          <w:snapToGrid/>
          <w:color w:val="auto"/>
          <w:sz w:val="24"/>
          <w:szCs w:val="24"/>
          <w:highlight w:val="none"/>
          <w:lang w:eastAsia="zh-CN" w:bidi="ar"/>
        </w:rPr>
        <w:t>相关专业设计人员4名（“相关专业” 是指职称证上的专业为道路交通工程、给水工程、排水工程、环境卫生工程、园林绿化工程专业）</w:t>
      </w:r>
      <w:r>
        <w:rPr>
          <w:rFonts w:hint="eastAsia" w:ascii="宋体" w:hAnsi="宋体" w:eastAsia="宋体" w:cs="宋体"/>
          <w:snapToGrid/>
          <w:sz w:val="24"/>
          <w:szCs w:val="24"/>
          <w:highlight w:val="none"/>
          <w:lang w:eastAsia="zh-CN" w:bidi="ar"/>
        </w:rPr>
        <w:t>。人员配备人数不符合要求，按不实质性响应招标文件要求处理。</w:t>
      </w:r>
    </w:p>
    <w:p w14:paraId="712B293B">
      <w:pPr>
        <w:kinsoku/>
        <w:autoSpaceDE/>
        <w:autoSpaceDN/>
        <w:adjustRightInd/>
        <w:snapToGrid/>
        <w:spacing w:line="400" w:lineRule="exact"/>
        <w:ind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bidi="ar"/>
        </w:rPr>
        <w:t>5、设计负责人、项目经理（建造师）、技术负责人及项目班子成员以投标文件载明的成员名单为准。</w:t>
      </w:r>
    </w:p>
    <w:p w14:paraId="1FD9B30D">
      <w:pPr>
        <w:widowControl w:val="0"/>
        <w:kinsoku/>
        <w:autoSpaceDE/>
        <w:autoSpaceDN/>
        <w:adjustRightInd/>
        <w:snapToGrid/>
        <w:spacing w:line="400" w:lineRule="exact"/>
        <w:ind w:firstLine="480" w:firstLineChars="200"/>
        <w:jc w:val="both"/>
        <w:textAlignment w:val="auto"/>
        <w:rPr>
          <w:rFonts w:hint="eastAsia" w:ascii="宋体" w:hAnsi="宋体" w:eastAsia="宋体" w:cs="宋体"/>
          <w:b/>
          <w:bCs/>
          <w:snapToGrid/>
          <w:sz w:val="24"/>
          <w:szCs w:val="24"/>
          <w:lang w:eastAsia="zh-CN"/>
        </w:rPr>
      </w:pPr>
      <w:r>
        <w:rPr>
          <w:rFonts w:hint="eastAsia" w:ascii="宋体" w:hAnsi="宋体" w:eastAsia="宋体" w:cs="宋体"/>
          <w:bCs/>
          <w:snapToGrid/>
          <w:sz w:val="24"/>
          <w:szCs w:val="24"/>
          <w:lang w:eastAsia="zh-CN"/>
        </w:rPr>
        <w:t>注:技术标评审不合格、不通过的，商务标不予评审。</w:t>
      </w:r>
    </w:p>
    <w:p w14:paraId="7DB6A9E6">
      <w:pPr>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br w:type="page"/>
      </w:r>
    </w:p>
    <w:p w14:paraId="63A0D4E3">
      <w:pPr>
        <w:widowControl w:val="0"/>
        <w:kinsoku/>
        <w:autoSpaceDE/>
        <w:autoSpaceDN/>
        <w:adjustRightInd/>
        <w:snapToGrid/>
        <w:spacing w:line="400"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34.2.2商务标评审</w:t>
      </w:r>
    </w:p>
    <w:p w14:paraId="2C13FDE1">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34.2.2.1商务标初步评审</w:t>
      </w:r>
    </w:p>
    <w:p w14:paraId="15FF6C6B">
      <w:pPr>
        <w:widowControl w:val="0"/>
        <w:kinsoku/>
        <w:autoSpaceDE/>
        <w:autoSpaceDN/>
        <w:adjustRightInd/>
        <w:snapToGrid/>
        <w:spacing w:line="400" w:lineRule="exact"/>
        <w:ind w:firstLine="480" w:firstLineChars="200"/>
        <w:jc w:val="both"/>
        <w:textAlignment w:val="auto"/>
        <w:rPr>
          <w:lang w:eastAsia="zh-CN"/>
        </w:rPr>
      </w:pPr>
      <w:r>
        <w:rPr>
          <w:rFonts w:hint="eastAsia" w:ascii="宋体" w:hAnsi="宋体" w:eastAsia="宋体" w:cs="宋体"/>
          <w:snapToGrid/>
          <w:sz w:val="24"/>
          <w:szCs w:val="24"/>
          <w:lang w:eastAsia="zh-CN"/>
        </w:rPr>
        <w:t>(1)本项目招标设有最高限价A,投标总报价大于最高限价A为无效投标，商务标书不予评审。</w:t>
      </w:r>
    </w:p>
    <w:p w14:paraId="02EF09E2">
      <w:pPr>
        <w:widowControl w:val="0"/>
        <w:kinsoku/>
        <w:autoSpaceDE/>
        <w:autoSpaceDN/>
        <w:adjustRightInd/>
        <w:snapToGrid/>
        <w:spacing w:line="400" w:lineRule="exact"/>
        <w:jc w:val="both"/>
        <w:textAlignment w:val="auto"/>
        <w:outlineLvl w:val="1"/>
        <w:rPr>
          <w:rFonts w:ascii="宋体" w:hAnsi="Times New Roman" w:eastAsia="宋体" w:cs="Times New Roman"/>
          <w:b/>
          <w:snapToGrid/>
          <w:sz w:val="24"/>
          <w:szCs w:val="20"/>
          <w:lang w:eastAsia="zh-CN"/>
        </w:rPr>
      </w:pPr>
      <w:bookmarkStart w:id="27" w:name="_Toc16177"/>
      <w:r>
        <w:rPr>
          <w:rFonts w:hint="eastAsia" w:ascii="宋体" w:hAnsi="Times New Roman" w:eastAsia="宋体" w:cs="Times New Roman"/>
          <w:b/>
          <w:snapToGrid/>
          <w:sz w:val="24"/>
          <w:szCs w:val="20"/>
          <w:lang w:eastAsia="zh-CN"/>
        </w:rPr>
        <w:t>（八）综合评分法商务标（70分）分值计算方法</w:t>
      </w:r>
      <w:bookmarkEnd w:id="27"/>
    </w:p>
    <w:p w14:paraId="275AE1BE">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一、本项目招标设有最高限价，投标人的投标总报价大于最高限价的投标文件不予评审。</w:t>
      </w:r>
    </w:p>
    <w:p w14:paraId="64930A2B">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二、投标总报价分值计算方法</w:t>
      </w:r>
    </w:p>
    <w:p w14:paraId="77FA03C9">
      <w:pPr>
        <w:kinsoku/>
        <w:autoSpaceDE/>
        <w:autoSpaceDN/>
        <w:adjustRightInd/>
        <w:snapToGrid/>
        <w:spacing w:line="400" w:lineRule="exact"/>
        <w:ind w:firstLine="482" w:firstLineChars="200"/>
        <w:textAlignment w:val="auto"/>
        <w:rPr>
          <w:rFonts w:ascii="宋体" w:hAnsi="Times New Roman" w:eastAsia="宋体" w:cs="Times New Roman"/>
          <w:snapToGrid/>
          <w:sz w:val="24"/>
          <w:szCs w:val="20"/>
          <w:lang w:eastAsia="zh-CN"/>
        </w:rPr>
      </w:pPr>
      <w:r>
        <w:rPr>
          <w:rFonts w:hint="eastAsia" w:ascii="宋体" w:hAnsi="宋体" w:eastAsia="宋体" w:cs="宋体"/>
          <w:b/>
          <w:bCs/>
          <w:snapToGrid/>
          <w:sz w:val="24"/>
          <w:szCs w:val="24"/>
          <w:lang w:eastAsia="zh-CN" w:bidi="ar"/>
        </w:rPr>
        <w:t>鉴于本项目为百分比费率招标，取费率报价百分比符号（%）前的数字（保留两位小数）列入计算（计算时的最高限价按100.00确定）。例：报价（百分比）为92.99%取92.99列入计算，90.60%取90.60列入计算。</w:t>
      </w:r>
    </w:p>
    <w:p w14:paraId="4D703300">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1、评标基准价按如下方式确定：</w:t>
      </w:r>
    </w:p>
    <w:p w14:paraId="64615FF0">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（1）通过资格评审的有效投标人&lt;5家时，评标基准价为所有有效投标人投标报价的算术平均值。</w:t>
      </w:r>
    </w:p>
    <w:p w14:paraId="06AA6B55">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（2）5家≤通过资格评审的有效投标人&lt;10家时，评标基准价为所有有效投标人报价中去掉一个最高价和一个最低价后剩余有效投标报价的算术平均值。</w:t>
      </w:r>
    </w:p>
    <w:p w14:paraId="52E459FE">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（3）通过资格评审的有效投标人≥10家时，评标基准价为所有有效投标人报价中去掉一个最高价、一个次高价、一个最低价、一个次低价后剩余有效投标报价的算术平均值。</w:t>
      </w:r>
    </w:p>
    <w:p w14:paraId="1D5D555E">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2、投标报价的偏差率=(有效投标标价一评标基准价)/评标基准价×100%</w:t>
      </w:r>
    </w:p>
    <w:p w14:paraId="20A0C6CD">
      <w:pPr>
        <w:kinsoku/>
        <w:autoSpaceDE/>
        <w:autoSpaceDN/>
        <w:adjustRightInd/>
        <w:snapToGrid/>
        <w:spacing w:line="400" w:lineRule="exact"/>
        <w:ind w:firstLine="480" w:firstLineChars="200"/>
        <w:textAlignment w:val="auto"/>
        <w:rPr>
          <w:rFonts w:ascii="宋体" w:hAnsi="Times New Roman" w:eastAsia="宋体" w:cs="Times New Roman"/>
          <w:snapToGrid/>
          <w:sz w:val="24"/>
          <w:szCs w:val="20"/>
          <w:lang w:eastAsia="zh-CN"/>
        </w:rPr>
      </w:pPr>
      <w:r>
        <w:rPr>
          <w:rFonts w:hint="eastAsia" w:ascii="宋体" w:hAnsi="宋体" w:eastAsia="宋体" w:cs="宋体"/>
          <w:snapToGrid/>
          <w:sz w:val="24"/>
          <w:szCs w:val="24"/>
          <w:lang w:eastAsia="zh-CN" w:bidi="ar"/>
        </w:rPr>
        <w:t>注：百分号前保留两位有效小数，第三位四舍五入。</w:t>
      </w:r>
    </w:p>
    <w:p w14:paraId="52F75D2B">
      <w:pPr>
        <w:kinsoku/>
        <w:autoSpaceDE/>
        <w:autoSpaceDN/>
        <w:adjustRightInd/>
        <w:snapToGrid/>
        <w:spacing w:line="400" w:lineRule="exact"/>
        <w:ind w:firstLine="480" w:firstLineChars="200"/>
        <w:textAlignment w:val="auto"/>
        <w:rPr>
          <w:rFonts w:hint="eastAsia" w:ascii="宋体" w:hAnsi="宋体" w:eastAsia="宋体" w:cs="宋体"/>
          <w:snapToGrid/>
          <w:sz w:val="24"/>
          <w:szCs w:val="24"/>
          <w:lang w:eastAsia="zh-CN" w:bidi="ar"/>
        </w:rPr>
      </w:pPr>
      <w:r>
        <w:rPr>
          <w:rFonts w:hint="eastAsia" w:ascii="宋体" w:hAnsi="宋体" w:eastAsia="宋体" w:cs="宋体"/>
          <w:snapToGrid/>
          <w:sz w:val="24"/>
          <w:szCs w:val="24"/>
          <w:lang w:eastAsia="zh-CN" w:bidi="ar"/>
        </w:rPr>
        <w:t>3、投标报价得分计算办法：</w:t>
      </w:r>
    </w:p>
    <w:p w14:paraId="76BE2B63">
      <w:pPr>
        <w:kinsoku/>
        <w:autoSpaceDE/>
        <w:autoSpaceDN/>
        <w:adjustRightInd/>
        <w:snapToGrid/>
        <w:spacing w:line="400" w:lineRule="exact"/>
        <w:ind w:firstLine="480" w:firstLineChars="200"/>
        <w:textAlignment w:val="auto"/>
        <w:rPr>
          <w:rFonts w:ascii="宋体" w:hAnsi="Times New Roman" w:eastAsia="宋体" w:cs="Times New Roman"/>
          <w:snapToGrid/>
          <w:color w:val="auto"/>
          <w:sz w:val="24"/>
          <w:szCs w:val="20"/>
          <w:lang w:eastAsia="zh-CN"/>
        </w:rPr>
      </w:pPr>
      <w:r>
        <w:rPr>
          <w:rFonts w:hint="eastAsia" w:ascii="宋体" w:hAnsi="宋体" w:eastAsia="宋体" w:cs="宋体"/>
          <w:snapToGrid/>
          <w:color w:val="auto"/>
          <w:sz w:val="24"/>
          <w:szCs w:val="24"/>
          <w:lang w:eastAsia="zh-CN" w:bidi="ar"/>
        </w:rPr>
        <w:t>各投标人的投标有效报价与评标基准价相比，相同的得70分，</w:t>
      </w:r>
      <w:r>
        <w:rPr>
          <w:rFonts w:hint="eastAsia" w:ascii="宋体" w:hAnsi="宋体" w:eastAsia="宋体" w:cs="宋体"/>
          <w:snapToGrid/>
          <w:color w:val="auto"/>
          <w:sz w:val="24"/>
          <w:szCs w:val="24"/>
          <w:highlight w:val="none"/>
          <w:lang w:eastAsia="zh-CN" w:bidi="ar"/>
        </w:rPr>
        <w:t>每增加1%扣0.</w:t>
      </w:r>
      <w:r>
        <w:rPr>
          <w:rFonts w:hint="eastAsia" w:ascii="宋体" w:hAnsi="宋体" w:eastAsia="宋体" w:cs="宋体"/>
          <w:snapToGrid/>
          <w:color w:val="auto"/>
          <w:sz w:val="24"/>
          <w:szCs w:val="24"/>
          <w:highlight w:val="none"/>
          <w:lang w:val="en-US" w:eastAsia="zh-CN" w:bidi="ar"/>
        </w:rPr>
        <w:t>5</w:t>
      </w:r>
      <w:r>
        <w:rPr>
          <w:rFonts w:hint="eastAsia" w:ascii="宋体" w:hAnsi="宋体" w:eastAsia="宋体" w:cs="宋体"/>
          <w:snapToGrid/>
          <w:color w:val="auto"/>
          <w:sz w:val="24"/>
          <w:szCs w:val="24"/>
          <w:highlight w:val="none"/>
          <w:lang w:eastAsia="zh-CN" w:bidi="ar"/>
        </w:rPr>
        <w:t>分，每减少1%扣0.25分；不足1%时按插入法计算，百分</w:t>
      </w:r>
      <w:r>
        <w:rPr>
          <w:rFonts w:hint="eastAsia" w:ascii="宋体" w:hAnsi="宋体" w:eastAsia="宋体" w:cs="宋体"/>
          <w:snapToGrid/>
          <w:color w:val="auto"/>
          <w:sz w:val="24"/>
          <w:szCs w:val="24"/>
          <w:lang w:eastAsia="zh-CN" w:bidi="ar"/>
        </w:rPr>
        <w:t>数取两位小数，小数点后第三位四舍五入。扣完70分为止。投标报价得分公式如下：</w:t>
      </w:r>
    </w:p>
    <w:p w14:paraId="78935CF6">
      <w:pPr>
        <w:kinsoku/>
        <w:autoSpaceDE/>
        <w:autoSpaceDN/>
        <w:adjustRightInd/>
        <w:snapToGrid/>
        <w:spacing w:line="400" w:lineRule="exact"/>
        <w:ind w:firstLine="480" w:firstLineChars="200"/>
        <w:textAlignment w:val="auto"/>
        <w:rPr>
          <w:rFonts w:ascii="宋体" w:hAnsi="Times New Roman" w:eastAsia="宋体" w:cs="Times New Roman"/>
          <w:snapToGrid/>
          <w:color w:val="auto"/>
          <w:sz w:val="24"/>
          <w:szCs w:val="20"/>
          <w:lang w:eastAsia="zh-CN"/>
        </w:rPr>
      </w:pPr>
      <w:r>
        <w:rPr>
          <w:rFonts w:hint="eastAsia" w:ascii="宋体" w:hAnsi="宋体" w:eastAsia="宋体" w:cs="宋体"/>
          <w:snapToGrid/>
          <w:color w:val="auto"/>
          <w:sz w:val="24"/>
          <w:szCs w:val="24"/>
          <w:lang w:eastAsia="zh-CN" w:bidi="ar"/>
        </w:rPr>
        <w:t>有效投标报价＞评标有效基准价F</w:t>
      </w:r>
    </w:p>
    <w:p w14:paraId="48624E11">
      <w:pPr>
        <w:kinsoku/>
        <w:autoSpaceDE/>
        <w:autoSpaceDN/>
        <w:adjustRightInd/>
        <w:snapToGrid/>
        <w:spacing w:line="400" w:lineRule="exact"/>
        <w:ind w:firstLine="480" w:firstLineChars="200"/>
        <w:textAlignment w:val="auto"/>
        <w:rPr>
          <w:rFonts w:ascii="宋体" w:hAnsi="Times New Roman" w:eastAsia="宋体" w:cs="Times New Roman"/>
          <w:snapToGrid/>
          <w:color w:val="auto"/>
          <w:sz w:val="24"/>
          <w:szCs w:val="20"/>
          <w:lang w:eastAsia="zh-CN"/>
        </w:rPr>
      </w:pPr>
      <w:r>
        <w:rPr>
          <w:rFonts w:hint="eastAsia" w:ascii="宋体" w:hAnsi="宋体" w:eastAsia="宋体" w:cs="宋体"/>
          <w:snapToGrid/>
          <w:color w:val="auto"/>
          <w:sz w:val="24"/>
          <w:szCs w:val="24"/>
          <w:lang w:eastAsia="zh-CN" w:bidi="ar"/>
        </w:rPr>
        <w:t>投标报价得分=70－偏差率×100×0.</w:t>
      </w:r>
      <w:r>
        <w:rPr>
          <w:rFonts w:hint="eastAsia" w:ascii="宋体" w:hAnsi="宋体" w:eastAsia="宋体" w:cs="宋体"/>
          <w:snapToGrid/>
          <w:color w:val="auto"/>
          <w:sz w:val="24"/>
          <w:szCs w:val="24"/>
          <w:lang w:val="en-US" w:eastAsia="zh-CN" w:bidi="ar"/>
        </w:rPr>
        <w:t>5</w:t>
      </w:r>
    </w:p>
    <w:p w14:paraId="7E59B006">
      <w:pPr>
        <w:kinsoku/>
        <w:autoSpaceDE/>
        <w:autoSpaceDN/>
        <w:adjustRightInd/>
        <w:snapToGrid/>
        <w:spacing w:line="400" w:lineRule="exact"/>
        <w:ind w:firstLine="480" w:firstLineChars="200"/>
        <w:textAlignment w:val="auto"/>
        <w:rPr>
          <w:rFonts w:ascii="宋体" w:hAnsi="Times New Roman" w:eastAsia="宋体" w:cs="Times New Roman"/>
          <w:snapToGrid/>
          <w:color w:val="auto"/>
          <w:sz w:val="24"/>
          <w:szCs w:val="20"/>
          <w:lang w:eastAsia="zh-CN"/>
        </w:rPr>
      </w:pPr>
      <w:r>
        <w:rPr>
          <w:rFonts w:hint="eastAsia" w:ascii="宋体" w:hAnsi="宋体" w:eastAsia="宋体" w:cs="宋体"/>
          <w:snapToGrid/>
          <w:color w:val="auto"/>
          <w:sz w:val="24"/>
          <w:szCs w:val="24"/>
          <w:lang w:eastAsia="zh-CN" w:bidi="ar"/>
        </w:rPr>
        <w:t>有效投标报价≤评标有效基准价F</w:t>
      </w:r>
    </w:p>
    <w:p w14:paraId="51C2CBD1">
      <w:pPr>
        <w:kinsoku/>
        <w:autoSpaceDE/>
        <w:autoSpaceDN/>
        <w:adjustRightInd/>
        <w:snapToGrid/>
        <w:spacing w:line="400" w:lineRule="exact"/>
        <w:ind w:firstLine="480" w:firstLineChars="200"/>
        <w:textAlignment w:val="auto"/>
        <w:rPr>
          <w:rFonts w:ascii="宋体" w:hAnsi="Times New Roman" w:eastAsia="宋体" w:cs="Times New Roman"/>
          <w:snapToGrid/>
          <w:color w:val="auto"/>
          <w:sz w:val="24"/>
          <w:szCs w:val="20"/>
          <w:lang w:eastAsia="zh-CN"/>
        </w:rPr>
      </w:pPr>
      <w:r>
        <w:rPr>
          <w:rFonts w:hint="eastAsia" w:ascii="宋体" w:hAnsi="宋体" w:eastAsia="宋体" w:cs="宋体"/>
          <w:snapToGrid/>
          <w:color w:val="auto"/>
          <w:sz w:val="24"/>
          <w:szCs w:val="24"/>
          <w:lang w:eastAsia="zh-CN" w:bidi="ar"/>
        </w:rPr>
        <w:t>投标报价得分=70</w:t>
      </w:r>
      <w:r>
        <w:rPr>
          <w:rFonts w:hint="eastAsia" w:ascii="宋体" w:hAnsi="宋体" w:eastAsia="宋体" w:cs="宋体"/>
          <w:snapToGrid/>
          <w:color w:val="auto"/>
          <w:sz w:val="24"/>
          <w:szCs w:val="24"/>
          <w:lang w:val="en-US" w:eastAsia="zh-CN" w:bidi="ar"/>
        </w:rPr>
        <w:t>+</w:t>
      </w:r>
      <w:r>
        <w:rPr>
          <w:rFonts w:hint="eastAsia" w:ascii="宋体" w:hAnsi="宋体" w:eastAsia="宋体" w:cs="宋体"/>
          <w:snapToGrid/>
          <w:color w:val="auto"/>
          <w:sz w:val="24"/>
          <w:szCs w:val="24"/>
          <w:lang w:eastAsia="zh-CN" w:bidi="ar"/>
        </w:rPr>
        <w:t>偏差率×100×0.25</w:t>
      </w:r>
    </w:p>
    <w:p w14:paraId="3911F1A9">
      <w:pPr>
        <w:rPr>
          <w:rFonts w:ascii="宋体" w:hAnsi="Times New Roman" w:eastAsia="宋体" w:cs="Times New Roman"/>
          <w:b/>
          <w:snapToGrid/>
          <w:sz w:val="24"/>
          <w:szCs w:val="20"/>
          <w:lang w:eastAsia="zh-CN"/>
        </w:rPr>
      </w:pPr>
      <w:bookmarkStart w:id="28" w:name="_Toc8080"/>
      <w:r>
        <w:rPr>
          <w:rFonts w:hint="eastAsia" w:ascii="宋体" w:hAnsi="Times New Roman" w:eastAsia="宋体" w:cs="Times New Roman"/>
          <w:b/>
          <w:snapToGrid/>
          <w:sz w:val="24"/>
          <w:szCs w:val="20"/>
          <w:lang w:eastAsia="zh-CN"/>
        </w:rPr>
        <w:br w:type="page"/>
      </w:r>
    </w:p>
    <w:p w14:paraId="0070A6FB">
      <w:pPr>
        <w:widowControl w:val="0"/>
        <w:kinsoku/>
        <w:autoSpaceDE/>
        <w:autoSpaceDN/>
        <w:adjustRightInd/>
        <w:snapToGrid/>
        <w:spacing w:line="400" w:lineRule="exact"/>
        <w:jc w:val="both"/>
        <w:textAlignment w:val="auto"/>
        <w:outlineLvl w:val="1"/>
        <w:rPr>
          <w:rFonts w:ascii="宋体" w:hAnsi="Times New Roman" w:eastAsia="宋体" w:cs="Times New Roman"/>
          <w:b/>
          <w:snapToGrid/>
          <w:sz w:val="24"/>
          <w:szCs w:val="20"/>
          <w:lang w:eastAsia="zh-CN"/>
        </w:rPr>
      </w:pPr>
      <w:r>
        <w:rPr>
          <w:rFonts w:hint="eastAsia" w:ascii="宋体" w:hAnsi="Times New Roman" w:eastAsia="宋体" w:cs="Times New Roman"/>
          <w:b/>
          <w:snapToGrid/>
          <w:sz w:val="24"/>
          <w:szCs w:val="20"/>
          <w:lang w:eastAsia="zh-CN"/>
        </w:rPr>
        <w:t>（九）综合评分法技术标（</w:t>
      </w:r>
      <w:r>
        <w:rPr>
          <w:rFonts w:hint="eastAsia" w:ascii="宋体" w:hAnsi="Times New Roman" w:eastAsia="宋体" w:cs="Times New Roman"/>
          <w:b/>
          <w:snapToGrid/>
          <w:sz w:val="24"/>
          <w:szCs w:val="20"/>
          <w:lang w:val="en-US" w:eastAsia="zh-CN"/>
        </w:rPr>
        <w:t>28</w:t>
      </w:r>
      <w:r>
        <w:rPr>
          <w:rFonts w:hint="eastAsia" w:ascii="宋体" w:hAnsi="Times New Roman" w:eastAsia="宋体" w:cs="Times New Roman"/>
          <w:b/>
          <w:snapToGrid/>
          <w:sz w:val="24"/>
          <w:szCs w:val="20"/>
          <w:lang w:eastAsia="zh-CN"/>
        </w:rPr>
        <w:t>分）分值计分方法</w:t>
      </w:r>
      <w:bookmarkEnd w:id="28"/>
    </w:p>
    <w:p w14:paraId="7CC2A2B4">
      <w:pPr>
        <w:widowControl w:val="0"/>
        <w:kinsoku/>
        <w:autoSpaceDE/>
        <w:autoSpaceDN/>
        <w:adjustRightInd/>
        <w:snapToGrid/>
        <w:spacing w:line="440" w:lineRule="exact"/>
        <w:jc w:val="both"/>
        <w:textAlignment w:val="auto"/>
        <w:outlineLvl w:val="3"/>
        <w:rPr>
          <w:rFonts w:hint="eastAsia" w:ascii="宋体" w:hAnsi="宋体" w:eastAsia="宋体" w:cs="宋体"/>
          <w:bCs/>
          <w:snapToGrid/>
          <w:sz w:val="28"/>
          <w:szCs w:val="28"/>
          <w:lang w:eastAsia="zh-CN"/>
        </w:rPr>
      </w:pPr>
      <w:r>
        <w:rPr>
          <w:rFonts w:hint="eastAsia" w:ascii="宋体" w:hAnsi="宋体" w:eastAsia="宋体" w:cs="宋体"/>
          <w:bCs/>
          <w:snapToGrid/>
          <w:sz w:val="28"/>
          <w:szCs w:val="28"/>
          <w:lang w:eastAsia="zh-CN"/>
        </w:rPr>
        <w:t>技术标一评分（20分）</w:t>
      </w:r>
    </w:p>
    <w:tbl>
      <w:tblPr>
        <w:tblStyle w:val="34"/>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1"/>
        <w:gridCol w:w="843"/>
        <w:gridCol w:w="1417"/>
        <w:gridCol w:w="4780"/>
        <w:gridCol w:w="621"/>
      </w:tblGrid>
      <w:tr w14:paraId="4B65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blHeader/>
        </w:trPr>
        <w:tc>
          <w:tcPr>
            <w:tcW w:w="971" w:type="pct"/>
            <w:gridSpan w:val="2"/>
            <w:vAlign w:val="center"/>
          </w:tcPr>
          <w:p w14:paraId="51E8C415">
            <w:pPr>
              <w:widowControl w:val="0"/>
              <w:spacing w:line="360" w:lineRule="auto"/>
              <w:jc w:val="center"/>
              <w:rPr>
                <w:rFonts w:hint="eastAsia" w:ascii="宋体" w:hAnsi="宋体" w:eastAsia="宋体" w:cs="宋体"/>
                <w:b/>
                <w:bCs/>
                <w:snapToGrid/>
                <w:spacing w:val="1"/>
                <w:kern w:val="2"/>
              </w:rPr>
            </w:pPr>
            <w:r>
              <w:rPr>
                <w:rFonts w:hint="eastAsia" w:ascii="宋体" w:hAnsi="宋体" w:eastAsia="宋体" w:cs="宋体"/>
                <w:b/>
                <w:bCs/>
                <w:snapToGrid/>
                <w:spacing w:val="1"/>
                <w:kern w:val="2"/>
              </w:rPr>
              <w:t>条款号</w:t>
            </w:r>
          </w:p>
        </w:tc>
        <w:tc>
          <w:tcPr>
            <w:tcW w:w="837" w:type="pct"/>
            <w:vAlign w:val="center"/>
          </w:tcPr>
          <w:p w14:paraId="69B74633">
            <w:pPr>
              <w:widowControl w:val="0"/>
              <w:spacing w:line="360" w:lineRule="auto"/>
              <w:jc w:val="center"/>
              <w:rPr>
                <w:rFonts w:hint="eastAsia" w:ascii="宋体" w:hAnsi="宋体" w:eastAsia="宋体" w:cs="宋体"/>
                <w:b/>
                <w:bCs/>
                <w:snapToGrid/>
                <w:spacing w:val="1"/>
                <w:kern w:val="2"/>
              </w:rPr>
            </w:pPr>
            <w:r>
              <w:rPr>
                <w:rFonts w:hint="eastAsia" w:ascii="宋体" w:hAnsi="宋体" w:eastAsia="宋体" w:cs="宋体"/>
                <w:b/>
                <w:bCs/>
                <w:snapToGrid/>
                <w:spacing w:val="1"/>
                <w:kern w:val="2"/>
              </w:rPr>
              <w:t>评审因素</w:t>
            </w:r>
          </w:p>
        </w:tc>
        <w:tc>
          <w:tcPr>
            <w:tcW w:w="2824" w:type="pct"/>
            <w:vAlign w:val="center"/>
          </w:tcPr>
          <w:p w14:paraId="370CF3EF">
            <w:pPr>
              <w:widowControl w:val="0"/>
              <w:spacing w:line="360" w:lineRule="auto"/>
              <w:jc w:val="center"/>
              <w:rPr>
                <w:rFonts w:hint="eastAsia" w:ascii="宋体" w:hAnsi="宋体" w:eastAsia="宋体" w:cs="宋体"/>
                <w:b/>
                <w:bCs/>
                <w:snapToGrid/>
                <w:spacing w:val="1"/>
                <w:kern w:val="2"/>
              </w:rPr>
            </w:pPr>
            <w:r>
              <w:rPr>
                <w:rFonts w:hint="eastAsia" w:ascii="宋体" w:hAnsi="宋体" w:eastAsia="宋体" w:cs="宋体"/>
                <w:b/>
                <w:bCs/>
                <w:snapToGrid/>
                <w:spacing w:val="1"/>
                <w:kern w:val="2"/>
              </w:rPr>
              <w:t>评分标准</w:t>
            </w:r>
          </w:p>
        </w:tc>
        <w:tc>
          <w:tcPr>
            <w:tcW w:w="367" w:type="pct"/>
            <w:vAlign w:val="center"/>
          </w:tcPr>
          <w:p w14:paraId="06F6F6C3">
            <w:pPr>
              <w:widowControl w:val="0"/>
              <w:spacing w:line="360" w:lineRule="auto"/>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满分</w:t>
            </w:r>
          </w:p>
        </w:tc>
      </w:tr>
      <w:tr w14:paraId="4153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3" w:type="pct"/>
            <w:vMerge w:val="restart"/>
            <w:vAlign w:val="center"/>
          </w:tcPr>
          <w:p w14:paraId="08ACEDEB">
            <w:pPr>
              <w:widowControl w:val="0"/>
              <w:spacing w:line="360" w:lineRule="auto"/>
              <w:jc w:val="both"/>
              <w:rPr>
                <w:rFonts w:hint="eastAsia" w:ascii="宋体" w:hAnsi="宋体" w:eastAsia="宋体" w:cs="宋体"/>
                <w:snapToGrid/>
                <w:spacing w:val="1"/>
                <w:kern w:val="2"/>
              </w:rPr>
            </w:pPr>
            <w:r>
              <w:rPr>
                <w:rFonts w:hint="eastAsia" w:ascii="宋体" w:hAnsi="宋体" w:eastAsia="宋体" w:cs="宋体"/>
                <w:snapToGrid/>
                <w:spacing w:val="1"/>
                <w:kern w:val="2"/>
              </w:rPr>
              <w:t>技术标一（</w:t>
            </w:r>
            <w:r>
              <w:rPr>
                <w:rFonts w:hint="eastAsia" w:ascii="宋体" w:hAnsi="宋体" w:eastAsia="宋体" w:cs="宋体"/>
                <w:snapToGrid/>
                <w:spacing w:val="1"/>
                <w:kern w:val="2"/>
                <w:lang w:eastAsia="zh-CN"/>
              </w:rPr>
              <w:t>2</w:t>
            </w:r>
            <w:r>
              <w:rPr>
                <w:rFonts w:hint="eastAsia" w:ascii="宋体" w:hAnsi="宋体" w:eastAsia="宋体" w:cs="宋体"/>
                <w:snapToGrid/>
                <w:spacing w:val="1"/>
                <w:kern w:val="2"/>
              </w:rPr>
              <w:t>0分）</w:t>
            </w:r>
          </w:p>
        </w:tc>
        <w:tc>
          <w:tcPr>
            <w:tcW w:w="497" w:type="pct"/>
            <w:vMerge w:val="restart"/>
            <w:tcBorders>
              <w:bottom w:val="nil"/>
            </w:tcBorders>
            <w:vAlign w:val="center"/>
          </w:tcPr>
          <w:p w14:paraId="6D3011B5">
            <w:pPr>
              <w:widowControl w:val="0"/>
              <w:spacing w:line="360" w:lineRule="auto"/>
              <w:ind w:left="160" w:right="123" w:hanging="5"/>
              <w:jc w:val="center"/>
              <w:rPr>
                <w:rFonts w:hint="eastAsia" w:ascii="宋体" w:hAnsi="宋体" w:eastAsia="宋体" w:cs="宋体"/>
                <w:snapToGrid/>
                <w:spacing w:val="1"/>
                <w:kern w:val="2"/>
              </w:rPr>
            </w:pPr>
            <w:r>
              <w:rPr>
                <w:rFonts w:hint="eastAsia" w:ascii="宋体" w:hAnsi="宋体" w:eastAsia="宋体" w:cs="宋体"/>
                <w:snapToGrid/>
                <w:spacing w:val="1"/>
                <w:kern w:val="2"/>
              </w:rPr>
              <w:t>设计服务方案(</w:t>
            </w:r>
            <w:r>
              <w:rPr>
                <w:rFonts w:hint="eastAsia" w:ascii="宋体" w:hAnsi="宋体" w:eastAsia="宋体" w:cs="宋体"/>
                <w:snapToGrid/>
                <w:spacing w:val="1"/>
                <w:kern w:val="2"/>
                <w:lang w:eastAsia="zh-CN"/>
              </w:rPr>
              <w:t>1</w:t>
            </w:r>
            <w:r>
              <w:rPr>
                <w:rFonts w:hint="eastAsia" w:ascii="宋体" w:hAnsi="宋体" w:eastAsia="宋体" w:cs="宋体"/>
                <w:snapToGrid/>
                <w:spacing w:val="1"/>
                <w:kern w:val="2"/>
              </w:rPr>
              <w:t>0分)</w:t>
            </w:r>
          </w:p>
        </w:tc>
        <w:tc>
          <w:tcPr>
            <w:tcW w:w="837" w:type="pct"/>
            <w:vAlign w:val="center"/>
          </w:tcPr>
          <w:p w14:paraId="68243594">
            <w:pPr>
              <w:widowControl w:val="0"/>
              <w:spacing w:line="360" w:lineRule="auto"/>
              <w:jc w:val="center"/>
              <w:rPr>
                <w:rFonts w:hint="eastAsia" w:ascii="宋体" w:hAnsi="宋体" w:eastAsia="宋体" w:cs="宋体"/>
                <w:snapToGrid/>
                <w:spacing w:val="1"/>
                <w:kern w:val="2"/>
              </w:rPr>
            </w:pPr>
            <w:r>
              <w:rPr>
                <w:rFonts w:hint="eastAsia" w:ascii="宋体" w:hAnsi="宋体" w:eastAsia="宋体" w:cs="宋体"/>
                <w:snapToGrid/>
                <w:spacing w:val="1"/>
                <w:kern w:val="2"/>
              </w:rPr>
              <w:t>1、总体理解</w:t>
            </w:r>
          </w:p>
        </w:tc>
        <w:tc>
          <w:tcPr>
            <w:tcW w:w="2824" w:type="pct"/>
            <w:vAlign w:val="center"/>
          </w:tcPr>
          <w:p w14:paraId="50284D1A">
            <w:pPr>
              <w:widowControl w:val="0"/>
              <w:spacing w:line="360" w:lineRule="auto"/>
              <w:ind w:right="106"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对项目建设条件的认识和掌握程度，对设计工作范围及设计内容描述准确程度等。</w:t>
            </w:r>
          </w:p>
          <w:p w14:paraId="3522AC39">
            <w:pPr>
              <w:widowControl w:val="0"/>
              <w:spacing w:line="360" w:lineRule="auto"/>
              <w:ind w:right="103"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评委根据描述的内容综合比较评审：优得1.5-2.0分，良得1-1.5分，差得0-1分。未体现以上内容或上述内容描述不合理、不科学的得0分。</w:t>
            </w:r>
          </w:p>
        </w:tc>
        <w:tc>
          <w:tcPr>
            <w:tcW w:w="367" w:type="pct"/>
            <w:vAlign w:val="center"/>
          </w:tcPr>
          <w:p w14:paraId="0E35CF04">
            <w:pPr>
              <w:widowControl w:val="0"/>
              <w:spacing w:line="360" w:lineRule="auto"/>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w:t>
            </w:r>
          </w:p>
        </w:tc>
      </w:tr>
      <w:tr w14:paraId="13250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473" w:type="pct"/>
            <w:vMerge w:val="continue"/>
            <w:vAlign w:val="center"/>
          </w:tcPr>
          <w:p w14:paraId="3D006C62">
            <w:pPr>
              <w:spacing w:line="360" w:lineRule="auto"/>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544AAEE3">
            <w:pPr>
              <w:spacing w:line="360" w:lineRule="auto"/>
              <w:jc w:val="center"/>
              <w:rPr>
                <w:rFonts w:hint="eastAsia" w:ascii="宋体" w:hAnsi="宋体" w:eastAsia="宋体" w:cs="宋体"/>
                <w:snapToGrid/>
                <w:spacing w:val="1"/>
                <w:kern w:val="2"/>
              </w:rPr>
            </w:pPr>
          </w:p>
        </w:tc>
        <w:tc>
          <w:tcPr>
            <w:tcW w:w="837" w:type="pct"/>
            <w:vAlign w:val="center"/>
          </w:tcPr>
          <w:p w14:paraId="502418A6">
            <w:pPr>
              <w:widowControl w:val="0"/>
              <w:spacing w:line="360" w:lineRule="auto"/>
              <w:ind w:right="103"/>
              <w:jc w:val="center"/>
              <w:rPr>
                <w:rFonts w:hint="eastAsia" w:ascii="宋体" w:hAnsi="宋体" w:eastAsia="宋体" w:cs="宋体"/>
                <w:snapToGrid/>
                <w:spacing w:val="1"/>
                <w:kern w:val="2"/>
              </w:rPr>
            </w:pPr>
            <w:r>
              <w:rPr>
                <w:rFonts w:hint="eastAsia" w:ascii="宋体" w:hAnsi="宋体" w:eastAsia="宋体" w:cs="宋体"/>
                <w:snapToGrid/>
                <w:spacing w:val="1"/>
                <w:kern w:val="2"/>
              </w:rPr>
              <w:t>2、设计</w:t>
            </w:r>
            <w:r>
              <w:rPr>
                <w:rFonts w:hint="eastAsia" w:ascii="宋体" w:hAnsi="宋体" w:eastAsia="宋体" w:cs="宋体"/>
                <w:snapToGrid/>
                <w:spacing w:val="1"/>
                <w:kern w:val="2"/>
                <w:lang w:val="en-US" w:eastAsia="zh-CN"/>
              </w:rPr>
              <w:t>目标</w:t>
            </w:r>
            <w:r>
              <w:rPr>
                <w:rFonts w:hint="eastAsia" w:ascii="宋体" w:hAnsi="宋体" w:eastAsia="宋体" w:cs="宋体"/>
                <w:snapToGrid/>
                <w:spacing w:val="1"/>
                <w:kern w:val="2"/>
              </w:rPr>
              <w:t>分析</w:t>
            </w:r>
          </w:p>
        </w:tc>
        <w:tc>
          <w:tcPr>
            <w:tcW w:w="2824" w:type="pct"/>
            <w:vAlign w:val="center"/>
          </w:tcPr>
          <w:p w14:paraId="13D27E83">
            <w:pPr>
              <w:widowControl w:val="0"/>
              <w:spacing w:line="360" w:lineRule="auto"/>
              <w:ind w:right="106"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对项目设计</w:t>
            </w:r>
            <w:r>
              <w:rPr>
                <w:rFonts w:hint="eastAsia" w:ascii="宋体" w:hAnsi="宋体" w:eastAsia="宋体" w:cs="宋体"/>
                <w:snapToGrid/>
                <w:spacing w:val="1"/>
                <w:kern w:val="2"/>
                <w:lang w:val="en-US" w:eastAsia="zh-CN"/>
              </w:rPr>
              <w:t>目标</w:t>
            </w:r>
            <w:r>
              <w:rPr>
                <w:rFonts w:hint="eastAsia" w:ascii="宋体" w:hAnsi="宋体" w:eastAsia="宋体" w:cs="宋体"/>
                <w:snapToGrid/>
                <w:spacing w:val="1"/>
                <w:kern w:val="2"/>
                <w:lang w:eastAsia="zh-CN"/>
              </w:rPr>
              <w:t>工作理解清晰、分析透彻、把握准确、合理；（</w:t>
            </w:r>
            <w:r>
              <w:rPr>
                <w:rFonts w:hint="eastAsia" w:ascii="宋体" w:hAnsi="宋体" w:eastAsia="宋体" w:cs="宋体"/>
                <w:snapToGrid/>
                <w:spacing w:val="1"/>
                <w:kern w:val="2"/>
                <w:lang w:val="en-US" w:eastAsia="zh-CN"/>
              </w:rPr>
              <w:t>设计目标：</w:t>
            </w:r>
            <w:r>
              <w:rPr>
                <w:rFonts w:hint="eastAsia" w:ascii="宋体" w:hAnsi="宋体" w:eastAsia="宋体" w:cs="宋体"/>
                <w:color w:val="auto"/>
                <w:kern w:val="0"/>
                <w:sz w:val="21"/>
                <w:szCs w:val="21"/>
                <w:highlight w:val="none"/>
              </w:rPr>
              <w:t>通过实施生态湿地建设、生态</w:t>
            </w:r>
            <w:r>
              <w:rPr>
                <w:rFonts w:hint="eastAsia" w:ascii="宋体" w:hAnsi="宋体" w:eastAsia="宋体" w:cs="宋体"/>
                <w:color w:val="auto"/>
                <w:kern w:val="0"/>
                <w:sz w:val="21"/>
                <w:szCs w:val="21"/>
                <w:highlight w:val="none"/>
                <w:lang w:val="en-US" w:eastAsia="zh-CN"/>
              </w:rPr>
              <w:t>缓冲带</w:t>
            </w:r>
            <w:r>
              <w:rPr>
                <w:rFonts w:hint="eastAsia" w:ascii="宋体" w:hAnsi="宋体" w:eastAsia="宋体" w:cs="宋体"/>
                <w:color w:val="auto"/>
                <w:kern w:val="0"/>
                <w:sz w:val="21"/>
                <w:szCs w:val="21"/>
                <w:highlight w:val="none"/>
              </w:rPr>
              <w:t>建设、入河排污口综合治理等工程，削减削减入城东湖污染负荷，项目预期对主要入河污染物COD、NH3-N、TP削减量可分别达到182.19 t/a、15.99 t/a、2.99 t/a。</w:t>
            </w:r>
            <w:r>
              <w:rPr>
                <w:rFonts w:hint="eastAsia" w:ascii="宋体" w:hAnsi="宋体" w:eastAsia="宋体" w:cs="宋体"/>
                <w:snapToGrid/>
                <w:spacing w:val="1"/>
                <w:kern w:val="2"/>
                <w:lang w:eastAsia="zh-CN"/>
              </w:rPr>
              <w:t>）</w:t>
            </w:r>
          </w:p>
          <w:p w14:paraId="0D4C11C7">
            <w:pPr>
              <w:widowControl w:val="0"/>
              <w:spacing w:line="360" w:lineRule="auto"/>
              <w:ind w:right="100"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评委根据描述的内容综合比较评审：优得1.5-2.0分，良得1-1.5分，差得0-1分。未体现以上内容或上述内容描述不合理、不科学的得0分。</w:t>
            </w:r>
          </w:p>
        </w:tc>
        <w:tc>
          <w:tcPr>
            <w:tcW w:w="367" w:type="pct"/>
            <w:vAlign w:val="center"/>
          </w:tcPr>
          <w:p w14:paraId="3A52BCE2">
            <w:pPr>
              <w:widowControl w:val="0"/>
              <w:spacing w:line="360" w:lineRule="auto"/>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w:t>
            </w:r>
          </w:p>
        </w:tc>
      </w:tr>
      <w:tr w14:paraId="3D5D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73" w:type="pct"/>
            <w:vMerge w:val="continue"/>
            <w:vAlign w:val="center"/>
          </w:tcPr>
          <w:p w14:paraId="0FDB31CB">
            <w:pPr>
              <w:spacing w:line="360" w:lineRule="auto"/>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6711ECD2">
            <w:pPr>
              <w:spacing w:line="360" w:lineRule="auto"/>
              <w:jc w:val="center"/>
              <w:rPr>
                <w:rFonts w:hint="eastAsia" w:ascii="宋体" w:hAnsi="宋体" w:eastAsia="宋体" w:cs="宋体"/>
                <w:snapToGrid/>
                <w:spacing w:val="1"/>
                <w:kern w:val="2"/>
              </w:rPr>
            </w:pPr>
          </w:p>
        </w:tc>
        <w:tc>
          <w:tcPr>
            <w:tcW w:w="837" w:type="pct"/>
            <w:vAlign w:val="center"/>
          </w:tcPr>
          <w:p w14:paraId="35B71758">
            <w:pPr>
              <w:widowControl w:val="0"/>
              <w:spacing w:line="360" w:lineRule="auto"/>
              <w:ind w:right="118"/>
              <w:jc w:val="center"/>
              <w:rPr>
                <w:rFonts w:hint="eastAsia" w:ascii="宋体" w:hAnsi="宋体" w:eastAsia="宋体" w:cs="宋体"/>
                <w:snapToGrid/>
                <w:spacing w:val="1"/>
                <w:kern w:val="2"/>
              </w:rPr>
            </w:pPr>
            <w:r>
              <w:rPr>
                <w:rFonts w:hint="eastAsia"/>
              </w:rPr>
              <w:t>3、设计工作安排</w:t>
            </w:r>
          </w:p>
        </w:tc>
        <w:tc>
          <w:tcPr>
            <w:tcW w:w="2824" w:type="pct"/>
            <w:vAlign w:val="center"/>
          </w:tcPr>
          <w:p w14:paraId="4C0769C1">
            <w:pPr>
              <w:widowControl w:val="0"/>
              <w:spacing w:line="360" w:lineRule="auto"/>
              <w:ind w:right="106"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对项目设计计划安排科学、进度保证措施完善、人员配备计划及人员组织计划安排合理等。</w:t>
            </w:r>
          </w:p>
          <w:p w14:paraId="5370E256">
            <w:pPr>
              <w:widowControl w:val="0"/>
              <w:spacing w:line="360" w:lineRule="auto"/>
              <w:ind w:right="100"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评委根据描述的内容综合比较评审：优得1.5-2.0分，良得1-1.5分，差得0-1分。未体现以上内容或上述内容描述不合理、不科学的得0分。</w:t>
            </w:r>
          </w:p>
        </w:tc>
        <w:tc>
          <w:tcPr>
            <w:tcW w:w="367" w:type="pct"/>
            <w:vAlign w:val="center"/>
          </w:tcPr>
          <w:p w14:paraId="2CA7D330">
            <w:pPr>
              <w:widowControl w:val="0"/>
              <w:spacing w:line="360" w:lineRule="auto"/>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w:t>
            </w:r>
          </w:p>
        </w:tc>
      </w:tr>
      <w:tr w14:paraId="02CD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73" w:type="pct"/>
            <w:vMerge w:val="continue"/>
            <w:vAlign w:val="center"/>
          </w:tcPr>
          <w:p w14:paraId="4AC46B0C">
            <w:pPr>
              <w:spacing w:line="360" w:lineRule="auto"/>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6C4B8C77">
            <w:pPr>
              <w:spacing w:line="360" w:lineRule="auto"/>
              <w:jc w:val="center"/>
              <w:rPr>
                <w:rFonts w:hint="eastAsia" w:ascii="宋体" w:hAnsi="宋体" w:eastAsia="宋体" w:cs="宋体"/>
                <w:snapToGrid/>
                <w:spacing w:val="1"/>
                <w:kern w:val="2"/>
              </w:rPr>
            </w:pPr>
          </w:p>
        </w:tc>
        <w:tc>
          <w:tcPr>
            <w:tcW w:w="837" w:type="pct"/>
            <w:vAlign w:val="center"/>
          </w:tcPr>
          <w:p w14:paraId="29589AA8">
            <w:pPr>
              <w:widowControl w:val="0"/>
              <w:spacing w:line="360" w:lineRule="auto"/>
              <w:ind w:right="120"/>
              <w:jc w:val="center"/>
              <w:rPr>
                <w:rFonts w:hint="eastAsia" w:ascii="宋体" w:hAnsi="宋体" w:eastAsia="宋体" w:cs="宋体"/>
                <w:snapToGrid/>
                <w:spacing w:val="1"/>
                <w:kern w:val="2"/>
              </w:rPr>
            </w:pPr>
            <w:r>
              <w:rPr>
                <w:rFonts w:hint="eastAsia" w:ascii="宋体" w:hAnsi="宋体" w:eastAsia="宋体" w:cs="宋体"/>
                <w:snapToGrid/>
                <w:spacing w:val="1"/>
                <w:kern w:val="2"/>
                <w:lang w:eastAsia="zh-CN"/>
              </w:rPr>
              <w:t>4、</w:t>
            </w:r>
            <w:r>
              <w:rPr>
                <w:rFonts w:hint="eastAsia" w:ascii="宋体" w:hAnsi="宋体" w:eastAsia="宋体" w:cs="宋体"/>
                <w:snapToGrid/>
                <w:spacing w:val="1"/>
                <w:kern w:val="2"/>
              </w:rPr>
              <w:t>设计质量保证体系</w:t>
            </w:r>
          </w:p>
        </w:tc>
        <w:tc>
          <w:tcPr>
            <w:tcW w:w="2824" w:type="pct"/>
            <w:vAlign w:val="center"/>
          </w:tcPr>
          <w:p w14:paraId="4731E863">
            <w:pPr>
              <w:widowControl w:val="0"/>
              <w:spacing w:line="360" w:lineRule="auto"/>
              <w:ind w:right="108"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对项目设计的质量保证体系完整、措施科学合理、后续服务的安排及保证措施完善、能有效保证设计质量等。</w:t>
            </w:r>
          </w:p>
          <w:p w14:paraId="60ACF122">
            <w:pPr>
              <w:widowControl w:val="0"/>
              <w:spacing w:line="360" w:lineRule="auto"/>
              <w:ind w:right="100"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评委根据描述的内容综合比较评审：优得1.5-2.0分，良得1-1.5分，差得0-1分。未体现以上内容或上述内容描述不合理、不科学的得0分。</w:t>
            </w:r>
          </w:p>
        </w:tc>
        <w:tc>
          <w:tcPr>
            <w:tcW w:w="367" w:type="pct"/>
            <w:vAlign w:val="center"/>
          </w:tcPr>
          <w:p w14:paraId="65AB9704">
            <w:pPr>
              <w:widowControl w:val="0"/>
              <w:spacing w:line="360" w:lineRule="auto"/>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w:t>
            </w:r>
          </w:p>
        </w:tc>
      </w:tr>
      <w:tr w14:paraId="5DCE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473" w:type="pct"/>
            <w:vMerge w:val="continue"/>
            <w:vAlign w:val="center"/>
          </w:tcPr>
          <w:p w14:paraId="1C692094">
            <w:pPr>
              <w:spacing w:line="360" w:lineRule="auto"/>
              <w:jc w:val="center"/>
              <w:rPr>
                <w:rFonts w:hint="eastAsia" w:ascii="宋体" w:hAnsi="宋体" w:eastAsia="宋体" w:cs="宋体"/>
                <w:snapToGrid/>
                <w:spacing w:val="1"/>
                <w:kern w:val="2"/>
              </w:rPr>
            </w:pPr>
          </w:p>
        </w:tc>
        <w:tc>
          <w:tcPr>
            <w:tcW w:w="497" w:type="pct"/>
            <w:vMerge w:val="continue"/>
            <w:tcBorders>
              <w:top w:val="nil"/>
            </w:tcBorders>
            <w:vAlign w:val="center"/>
          </w:tcPr>
          <w:p w14:paraId="0813A00B">
            <w:pPr>
              <w:spacing w:line="360" w:lineRule="auto"/>
              <w:jc w:val="center"/>
              <w:rPr>
                <w:rFonts w:hint="eastAsia" w:ascii="宋体" w:hAnsi="宋体" w:eastAsia="宋体" w:cs="宋体"/>
                <w:snapToGrid/>
                <w:spacing w:val="1"/>
                <w:kern w:val="2"/>
              </w:rPr>
            </w:pPr>
          </w:p>
        </w:tc>
        <w:tc>
          <w:tcPr>
            <w:tcW w:w="837" w:type="pct"/>
            <w:vAlign w:val="center"/>
          </w:tcPr>
          <w:p w14:paraId="73EF7B0B">
            <w:pPr>
              <w:widowControl w:val="0"/>
              <w:spacing w:line="360" w:lineRule="auto"/>
              <w:ind w:right="104"/>
              <w:jc w:val="center"/>
              <w:rPr>
                <w:rFonts w:hint="eastAsia" w:ascii="宋体" w:hAnsi="宋体" w:eastAsia="宋体" w:cs="宋体"/>
                <w:snapToGrid/>
                <w:spacing w:val="1"/>
                <w:kern w:val="2"/>
              </w:rPr>
            </w:pPr>
            <w:r>
              <w:rPr>
                <w:rFonts w:hint="eastAsia" w:ascii="宋体" w:hAnsi="宋体" w:eastAsia="宋体" w:cs="宋体"/>
                <w:snapToGrid/>
                <w:spacing w:val="1"/>
                <w:kern w:val="2"/>
                <w:lang w:eastAsia="zh-CN"/>
              </w:rPr>
              <w:t>5、</w:t>
            </w:r>
            <w:r>
              <w:rPr>
                <w:rFonts w:hint="eastAsia" w:ascii="宋体" w:hAnsi="宋体" w:eastAsia="宋体" w:cs="宋体"/>
                <w:snapToGrid/>
                <w:spacing w:val="1"/>
                <w:kern w:val="2"/>
              </w:rPr>
              <w:t>项目投资控制</w:t>
            </w:r>
          </w:p>
        </w:tc>
        <w:tc>
          <w:tcPr>
            <w:tcW w:w="2824" w:type="pct"/>
            <w:vAlign w:val="center"/>
          </w:tcPr>
          <w:p w14:paraId="455045EA">
            <w:pPr>
              <w:widowControl w:val="0"/>
              <w:spacing w:line="360" w:lineRule="auto"/>
              <w:ind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根据招标文件要求，针对项目限额设计、成本控制、设计变更控制等编制保证措施，确保项目投资目标控制符合招标人要求，措施科学合理，投资控制目标不得超过招标人目标要求。</w:t>
            </w:r>
          </w:p>
          <w:p w14:paraId="3396F1A8">
            <w:pPr>
              <w:widowControl w:val="0"/>
              <w:spacing w:line="360" w:lineRule="auto"/>
              <w:ind w:right="100"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评委根据描述的内容综合比较评审：优得1.5-2.0分，良得1-1.5分，差得0-1分。未体现以上内容或上述内容描述不合理、不科学的得0分。</w:t>
            </w:r>
          </w:p>
        </w:tc>
        <w:tc>
          <w:tcPr>
            <w:tcW w:w="367" w:type="pct"/>
            <w:vAlign w:val="center"/>
          </w:tcPr>
          <w:p w14:paraId="40C19718">
            <w:pPr>
              <w:widowControl w:val="0"/>
              <w:spacing w:line="360" w:lineRule="auto"/>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w:t>
            </w:r>
          </w:p>
        </w:tc>
      </w:tr>
      <w:tr w14:paraId="2895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473" w:type="pct"/>
            <w:vMerge w:val="continue"/>
            <w:vAlign w:val="center"/>
          </w:tcPr>
          <w:p w14:paraId="4C321343">
            <w:pPr>
              <w:widowControl w:val="0"/>
              <w:spacing w:line="360" w:lineRule="auto"/>
              <w:ind w:right="15"/>
              <w:jc w:val="both"/>
              <w:rPr>
                <w:rFonts w:hint="eastAsia" w:ascii="宋体" w:hAnsi="宋体" w:eastAsia="宋体" w:cs="宋体"/>
                <w:snapToGrid/>
                <w:spacing w:val="1"/>
                <w:kern w:val="2"/>
              </w:rPr>
            </w:pPr>
          </w:p>
        </w:tc>
        <w:tc>
          <w:tcPr>
            <w:tcW w:w="497" w:type="pct"/>
            <w:vMerge w:val="restart"/>
            <w:tcBorders>
              <w:bottom w:val="nil"/>
            </w:tcBorders>
            <w:vAlign w:val="center"/>
          </w:tcPr>
          <w:p w14:paraId="3819CFAD">
            <w:pPr>
              <w:widowControl w:val="0"/>
              <w:spacing w:line="360" w:lineRule="auto"/>
              <w:ind w:right="15"/>
              <w:jc w:val="center"/>
              <w:rPr>
                <w:rFonts w:hint="eastAsia" w:ascii="宋体" w:hAnsi="宋体" w:eastAsia="宋体" w:cs="宋体"/>
                <w:snapToGrid/>
                <w:spacing w:val="1"/>
                <w:kern w:val="2"/>
              </w:rPr>
            </w:pPr>
            <w:r>
              <w:rPr>
                <w:rFonts w:hint="eastAsia" w:ascii="宋体" w:hAnsi="宋体" w:eastAsia="宋体" w:cs="宋体"/>
                <w:snapToGrid/>
                <w:spacing w:val="1"/>
                <w:kern w:val="2"/>
              </w:rPr>
              <w:t>施工组织设计(</w:t>
            </w:r>
            <w:r>
              <w:rPr>
                <w:rFonts w:hint="eastAsia" w:ascii="宋体" w:hAnsi="宋体" w:eastAsia="宋体" w:cs="宋体"/>
                <w:snapToGrid/>
                <w:spacing w:val="1"/>
                <w:kern w:val="2"/>
                <w:lang w:eastAsia="zh-CN"/>
              </w:rPr>
              <w:t>1</w:t>
            </w:r>
            <w:r>
              <w:rPr>
                <w:rFonts w:hint="eastAsia" w:ascii="宋体" w:hAnsi="宋体" w:eastAsia="宋体" w:cs="宋体"/>
                <w:snapToGrid/>
                <w:spacing w:val="1"/>
                <w:kern w:val="2"/>
              </w:rPr>
              <w:t>0分)</w:t>
            </w:r>
          </w:p>
        </w:tc>
        <w:tc>
          <w:tcPr>
            <w:tcW w:w="837" w:type="pct"/>
            <w:vAlign w:val="center"/>
          </w:tcPr>
          <w:p w14:paraId="5140ED9F">
            <w:pPr>
              <w:widowControl w:val="0"/>
              <w:spacing w:line="360" w:lineRule="auto"/>
              <w:ind w:right="15"/>
              <w:jc w:val="center"/>
              <w:rPr>
                <w:rFonts w:hint="eastAsia" w:ascii="宋体" w:hAnsi="宋体" w:eastAsia="宋体" w:cs="宋体"/>
                <w:snapToGrid/>
                <w:spacing w:val="1"/>
                <w:kern w:val="2"/>
              </w:rPr>
            </w:pPr>
            <w:r>
              <w:rPr>
                <w:rFonts w:hint="eastAsia" w:ascii="宋体" w:hAnsi="宋体" w:eastAsia="宋体" w:cs="宋体"/>
                <w:snapToGrid/>
                <w:spacing w:val="1"/>
                <w:kern w:val="2"/>
              </w:rPr>
              <w:t>1.主要施工方法</w:t>
            </w:r>
          </w:p>
        </w:tc>
        <w:tc>
          <w:tcPr>
            <w:tcW w:w="2824" w:type="pct"/>
            <w:vAlign w:val="center"/>
          </w:tcPr>
          <w:p w14:paraId="42E8DB6E">
            <w:pPr>
              <w:widowControl w:val="0"/>
              <w:spacing w:line="360" w:lineRule="auto"/>
              <w:ind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各主要分部施工方法符合项目实际，须有详尽的施工技术方案，工艺先进、方法科学合理、可行，能指导具体施工并确保安全。满足施工需要的得1.0-1.5分，基本满足需要的得0.8-1.0分，有重大缺陷的得0分</w:t>
            </w:r>
          </w:p>
        </w:tc>
        <w:tc>
          <w:tcPr>
            <w:tcW w:w="367" w:type="pct"/>
            <w:vAlign w:val="center"/>
          </w:tcPr>
          <w:p w14:paraId="7A36EFA9">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1.5</w:t>
            </w:r>
          </w:p>
        </w:tc>
      </w:tr>
      <w:tr w14:paraId="5F6C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473" w:type="pct"/>
            <w:vMerge w:val="continue"/>
            <w:vAlign w:val="center"/>
          </w:tcPr>
          <w:p w14:paraId="7DAE850C">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2B3328E1">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64B3FB9B">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2.拟投入的主要物资计划</w:t>
            </w:r>
          </w:p>
        </w:tc>
        <w:tc>
          <w:tcPr>
            <w:tcW w:w="2824" w:type="pct"/>
            <w:vAlign w:val="center"/>
          </w:tcPr>
          <w:p w14:paraId="67C8482A">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投入的施工材料有详细计划且计划周密，数量、选型配置、进场数量、进场时间等安排合理，满足施工需要。满足需要的得0.3-0.5分，基本满足需要的得0.1-0.3分，安排有缺项或明显不合理的得0分</w:t>
            </w:r>
          </w:p>
        </w:tc>
        <w:tc>
          <w:tcPr>
            <w:tcW w:w="367" w:type="pct"/>
            <w:vAlign w:val="center"/>
          </w:tcPr>
          <w:p w14:paraId="098571D1">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0.5</w:t>
            </w:r>
          </w:p>
        </w:tc>
      </w:tr>
      <w:tr w14:paraId="7E2B3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473" w:type="pct"/>
            <w:vMerge w:val="continue"/>
            <w:vAlign w:val="center"/>
          </w:tcPr>
          <w:p w14:paraId="4ED738ED">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31AFC872">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3FA989EB">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3.拟投入的主要施工机械、设备计划</w:t>
            </w:r>
          </w:p>
        </w:tc>
        <w:tc>
          <w:tcPr>
            <w:tcW w:w="2824" w:type="pct"/>
            <w:vAlign w:val="center"/>
          </w:tcPr>
          <w:p w14:paraId="661CC14E">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投入的施工机械、设备、机具有详细计划且计划周密，设备数量、选型配置、进场数量、进场时间等计划安排满足施工需要。满足需要得0.3-0.5分，基本满足需要的得0.1-0.3分，投入的主要施工机械、设备不能保证进度或有重大缺项的得0分</w:t>
            </w:r>
          </w:p>
        </w:tc>
        <w:tc>
          <w:tcPr>
            <w:tcW w:w="367" w:type="pct"/>
            <w:vAlign w:val="center"/>
          </w:tcPr>
          <w:p w14:paraId="7830AB5E">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0.5</w:t>
            </w:r>
          </w:p>
        </w:tc>
      </w:tr>
      <w:tr w14:paraId="07DF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473" w:type="pct"/>
            <w:vMerge w:val="continue"/>
            <w:vAlign w:val="center"/>
          </w:tcPr>
          <w:p w14:paraId="5A6E323B">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5089F2A6">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572EB5C0">
            <w:pPr>
              <w:widowControl w:val="0"/>
              <w:spacing w:line="360" w:lineRule="auto"/>
              <w:ind w:right="15"/>
              <w:jc w:val="center"/>
              <w:rPr>
                <w:rFonts w:hint="eastAsia" w:ascii="宋体" w:hAnsi="宋体" w:eastAsia="宋体" w:cs="宋体"/>
                <w:snapToGrid/>
                <w:spacing w:val="1"/>
                <w:kern w:val="2"/>
              </w:rPr>
            </w:pPr>
            <w:r>
              <w:rPr>
                <w:rFonts w:hint="eastAsia" w:ascii="宋体" w:hAnsi="宋体" w:eastAsia="宋体" w:cs="宋体"/>
                <w:snapToGrid/>
                <w:spacing w:val="1"/>
                <w:kern w:val="2"/>
              </w:rPr>
              <w:t>4.劳动力安排计划</w:t>
            </w:r>
          </w:p>
        </w:tc>
        <w:tc>
          <w:tcPr>
            <w:tcW w:w="2824" w:type="pct"/>
            <w:vAlign w:val="center"/>
          </w:tcPr>
          <w:p w14:paraId="35FF72B9">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各主要施工工序应有详细周密的劳动力安排计划明细，有各工种劳动力安排计划，劳动力投入经济合理，满足施工需要。满足施工需要的得0.3-0.5分，基本满足的得0.1-0.3分，较差的得0分</w:t>
            </w:r>
          </w:p>
        </w:tc>
        <w:tc>
          <w:tcPr>
            <w:tcW w:w="367" w:type="pct"/>
            <w:vAlign w:val="center"/>
          </w:tcPr>
          <w:p w14:paraId="23E0F33C">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0.5</w:t>
            </w:r>
          </w:p>
        </w:tc>
      </w:tr>
      <w:tr w14:paraId="42762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73" w:type="pct"/>
            <w:vMerge w:val="continue"/>
            <w:vAlign w:val="center"/>
          </w:tcPr>
          <w:p w14:paraId="3638E79F">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401A8246">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54048428">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5.确保工程质量的技术组织措施</w:t>
            </w:r>
          </w:p>
        </w:tc>
        <w:tc>
          <w:tcPr>
            <w:tcW w:w="2824" w:type="pct"/>
            <w:vAlign w:val="center"/>
          </w:tcPr>
          <w:p w14:paraId="4C4ECC5F">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施工项目应有专门的质量技术管理班子和制度，人员配备合理，制度健全；主要工序有质量技术保证措施和手段，自控体系完整，能有效保证技术质量，且承诺的质量标准达到招标要求。满足施工需要的得1.0-1.5分，基本满足的得0.8-1.0分，完全不合理或有重大缺陷的得0分</w:t>
            </w:r>
          </w:p>
        </w:tc>
        <w:tc>
          <w:tcPr>
            <w:tcW w:w="367" w:type="pct"/>
            <w:vAlign w:val="center"/>
          </w:tcPr>
          <w:p w14:paraId="06032A30">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1.5</w:t>
            </w:r>
          </w:p>
        </w:tc>
      </w:tr>
      <w:tr w14:paraId="7610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473" w:type="pct"/>
            <w:vMerge w:val="continue"/>
            <w:vAlign w:val="center"/>
          </w:tcPr>
          <w:p w14:paraId="49AE7175">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nil"/>
            </w:tcBorders>
            <w:vAlign w:val="center"/>
          </w:tcPr>
          <w:p w14:paraId="44436142">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67F6ECF4">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6.确保安全生产的技术组织措施</w:t>
            </w:r>
          </w:p>
        </w:tc>
        <w:tc>
          <w:tcPr>
            <w:tcW w:w="2824" w:type="pct"/>
            <w:vAlign w:val="center"/>
          </w:tcPr>
          <w:p w14:paraId="06ED2D87">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施工项目有专门的安全管理人员和制度，且安全管理人员配备合理，制度健全；各道工序安全技术措施针对性强，符合实际且满足有关安全技术标准要求；现场防火、安全防护措施得力。满足施工需要的得1.0-1.5分，基本满足的得0.8-1.0分，有1项不符合前述要求的即得0分</w:t>
            </w:r>
          </w:p>
        </w:tc>
        <w:tc>
          <w:tcPr>
            <w:tcW w:w="367" w:type="pct"/>
            <w:vAlign w:val="center"/>
          </w:tcPr>
          <w:p w14:paraId="53F84233">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1.5</w:t>
            </w:r>
          </w:p>
        </w:tc>
      </w:tr>
      <w:tr w14:paraId="2A15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73" w:type="pct"/>
            <w:vMerge w:val="continue"/>
            <w:vAlign w:val="center"/>
          </w:tcPr>
          <w:p w14:paraId="7045870F">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tcBorders>
            <w:vAlign w:val="center"/>
          </w:tcPr>
          <w:p w14:paraId="365B4AF4">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675739E5">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7.确保工期的技术组织措施</w:t>
            </w:r>
          </w:p>
        </w:tc>
        <w:tc>
          <w:tcPr>
            <w:tcW w:w="2824" w:type="pct"/>
            <w:vAlign w:val="center"/>
          </w:tcPr>
          <w:p w14:paraId="1854FC6E">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在施工工艺、施工方法、材料选用、劳动力安排、机械设备、技术等方面有保证工期的具体措施且措施得当；有控制工期的施工进度计划；有施工总进度表或施工网络图；各项计划图表编制完善，安排科学合理，符合本项目施工实际要求。满足施工需要的得0.5-1.0分，基本满足的得0.3-0.5分，有明显缺陷的得0分</w:t>
            </w:r>
          </w:p>
        </w:tc>
        <w:tc>
          <w:tcPr>
            <w:tcW w:w="367" w:type="pct"/>
            <w:vAlign w:val="center"/>
          </w:tcPr>
          <w:p w14:paraId="0F64D391">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1</w:t>
            </w:r>
          </w:p>
        </w:tc>
      </w:tr>
      <w:tr w14:paraId="44C2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473" w:type="pct"/>
            <w:vMerge w:val="continue"/>
            <w:vAlign w:val="center"/>
          </w:tcPr>
          <w:p w14:paraId="076E989C">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tcBorders>
            <w:vAlign w:val="center"/>
          </w:tcPr>
          <w:p w14:paraId="38E14614">
            <w:pPr>
              <w:widowControl w:val="0"/>
              <w:spacing w:line="360" w:lineRule="auto"/>
              <w:ind w:left="116" w:right="15" w:firstLine="433"/>
              <w:jc w:val="center"/>
              <w:rPr>
                <w:rFonts w:hint="eastAsia" w:ascii="宋体" w:hAnsi="宋体" w:eastAsia="宋体" w:cs="宋体"/>
                <w:snapToGrid/>
                <w:spacing w:val="1"/>
                <w:kern w:val="2"/>
              </w:rPr>
            </w:pPr>
          </w:p>
        </w:tc>
        <w:tc>
          <w:tcPr>
            <w:tcW w:w="837" w:type="pct"/>
            <w:vAlign w:val="center"/>
          </w:tcPr>
          <w:p w14:paraId="354A49F4">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8.确保文明施工的技术组织措施</w:t>
            </w:r>
          </w:p>
        </w:tc>
        <w:tc>
          <w:tcPr>
            <w:tcW w:w="2824" w:type="pct"/>
            <w:vAlign w:val="center"/>
          </w:tcPr>
          <w:p w14:paraId="7E03E390">
            <w:pPr>
              <w:widowControl w:val="0"/>
              <w:spacing w:line="360" w:lineRule="auto"/>
              <w:ind w:left="116"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针对本工程项目特点，应有现场文明施工计划，环境保护措施，特别是施工扬尘环境治理措施，且计划措施内容达到“安全文明示范工地”标准；各项措施周全、具体、有效；有具体实现现场文明施工目标的承诺。满足要求的得0.5-1.0分，基本满足的得0.3-0.5分，措施有重大缺陷的得0分</w:t>
            </w:r>
          </w:p>
        </w:tc>
        <w:tc>
          <w:tcPr>
            <w:tcW w:w="367" w:type="pct"/>
            <w:vAlign w:val="center"/>
          </w:tcPr>
          <w:p w14:paraId="763E07EA">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1</w:t>
            </w:r>
          </w:p>
        </w:tc>
      </w:tr>
      <w:tr w14:paraId="4FB8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6" w:hRule="atLeast"/>
        </w:trPr>
        <w:tc>
          <w:tcPr>
            <w:tcW w:w="473" w:type="pct"/>
            <w:vMerge w:val="continue"/>
            <w:vAlign w:val="center"/>
          </w:tcPr>
          <w:p w14:paraId="795710B4">
            <w:pPr>
              <w:widowControl w:val="0"/>
              <w:spacing w:line="360" w:lineRule="auto"/>
              <w:ind w:left="116" w:right="15" w:firstLine="433"/>
              <w:jc w:val="center"/>
              <w:rPr>
                <w:rFonts w:hint="eastAsia" w:ascii="宋体" w:hAnsi="宋体" w:eastAsia="宋体" w:cs="宋体"/>
                <w:snapToGrid/>
                <w:spacing w:val="1"/>
                <w:kern w:val="2"/>
              </w:rPr>
            </w:pPr>
          </w:p>
        </w:tc>
        <w:tc>
          <w:tcPr>
            <w:tcW w:w="497" w:type="pct"/>
            <w:vMerge w:val="continue"/>
            <w:tcBorders>
              <w:top w:val="nil"/>
              <w:bottom w:val="single" w:color="auto" w:sz="4" w:space="0"/>
            </w:tcBorders>
            <w:vAlign w:val="center"/>
          </w:tcPr>
          <w:p w14:paraId="1C28D536">
            <w:pPr>
              <w:widowControl w:val="0"/>
              <w:spacing w:line="360" w:lineRule="auto"/>
              <w:ind w:left="116" w:right="15" w:firstLine="433"/>
              <w:jc w:val="center"/>
              <w:rPr>
                <w:rFonts w:hint="eastAsia" w:ascii="宋体" w:hAnsi="宋体" w:eastAsia="宋体" w:cs="宋体"/>
                <w:snapToGrid/>
                <w:spacing w:val="1"/>
                <w:kern w:val="2"/>
              </w:rPr>
            </w:pPr>
          </w:p>
        </w:tc>
        <w:tc>
          <w:tcPr>
            <w:tcW w:w="837" w:type="pct"/>
            <w:tcBorders>
              <w:bottom w:val="single" w:color="auto" w:sz="4" w:space="0"/>
            </w:tcBorders>
            <w:vAlign w:val="center"/>
          </w:tcPr>
          <w:p w14:paraId="658829FE">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9.工程施工的重点和难点及保证措施（重、难点，以招标文件前附表第42项列明的重、难点为依据）</w:t>
            </w:r>
          </w:p>
        </w:tc>
        <w:tc>
          <w:tcPr>
            <w:tcW w:w="2824" w:type="pct"/>
            <w:vAlign w:val="center"/>
          </w:tcPr>
          <w:p w14:paraId="33BFEA03">
            <w:pPr>
              <w:widowControl w:val="0"/>
              <w:spacing w:line="360" w:lineRule="auto"/>
              <w:ind w:right="15" w:firstLine="424" w:firstLineChars="200"/>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有工程施工的重点和难点解决方案、措施，方案科学合理，措施得当可行。满足施工需要的得1.5-2.0分；基本满足需要的得1.0-1.5分；重点、难点没有逐项列明，或某项重点、难点的解决方案、措施有重大缺陷或不适用的得0分</w:t>
            </w:r>
          </w:p>
        </w:tc>
        <w:tc>
          <w:tcPr>
            <w:tcW w:w="367" w:type="pct"/>
            <w:vAlign w:val="center"/>
          </w:tcPr>
          <w:p w14:paraId="64814EC7">
            <w:pPr>
              <w:widowControl w:val="0"/>
              <w:spacing w:line="360" w:lineRule="auto"/>
              <w:ind w:right="15"/>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rPr>
              <w:t>2</w:t>
            </w:r>
          </w:p>
        </w:tc>
      </w:tr>
    </w:tbl>
    <w:p w14:paraId="63A667F5">
      <w:pPr>
        <w:widowControl w:val="0"/>
        <w:ind w:left="116" w:right="15" w:firstLine="433"/>
        <w:jc w:val="both"/>
        <w:rPr>
          <w:rFonts w:hint="eastAsia" w:ascii="宋体" w:hAnsi="宋体" w:eastAsia="宋体" w:cs="宋体"/>
          <w:snapToGrid/>
          <w:spacing w:val="1"/>
          <w:kern w:val="2"/>
          <w:sz w:val="24"/>
          <w:szCs w:val="24"/>
        </w:rPr>
      </w:pPr>
    </w:p>
    <w:p w14:paraId="01EF15D9">
      <w:pPr>
        <w:widowControl w:val="0"/>
        <w:ind w:right="15"/>
        <w:jc w:val="both"/>
        <w:rPr>
          <w:rFonts w:hint="eastAsia" w:ascii="宋体" w:hAnsi="宋体" w:eastAsia="宋体" w:cs="宋体"/>
          <w:snapToGrid/>
          <w:spacing w:val="1"/>
          <w:kern w:val="2"/>
          <w:sz w:val="24"/>
          <w:szCs w:val="24"/>
          <w:lang w:eastAsia="zh-CN"/>
        </w:rPr>
      </w:pPr>
      <w:r>
        <w:rPr>
          <w:rFonts w:hint="eastAsia" w:ascii="宋体" w:hAnsi="宋体" w:eastAsia="宋体" w:cs="宋体"/>
          <w:b/>
          <w:bCs/>
          <w:snapToGrid/>
          <w:spacing w:val="1"/>
          <w:kern w:val="2"/>
          <w:sz w:val="24"/>
          <w:szCs w:val="24"/>
        </w:rPr>
        <w:t>技术标一评审说明：</w:t>
      </w:r>
    </w:p>
    <w:p w14:paraId="4C25D244">
      <w:pPr>
        <w:widowControl w:val="0"/>
        <w:numPr>
          <w:ilvl w:val="0"/>
          <w:numId w:val="7"/>
        </w:numPr>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技术标一的评审，由评委各自对每一个投标人施工组织设计独立评分，严禁采取分人主评后由其他评委抄袭分数或一人主评其他附和签名的方式评分。出现违反前述规定评标的，一律由现场监督人员对评委记不良行为记录一次。</w:t>
      </w:r>
    </w:p>
    <w:p w14:paraId="62004987">
      <w:pPr>
        <w:widowControl w:val="0"/>
        <w:numPr>
          <w:ilvl w:val="0"/>
          <w:numId w:val="7"/>
        </w:numPr>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某投标人的得分规则为从各评委对该投标人的施工组织设计所作的评分中去掉一个最高分和一个最低分，然后进行算术平均所得的平均值，即为该投标人技术标一的得分。</w:t>
      </w:r>
    </w:p>
    <w:p w14:paraId="4011B42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w:t>
      </w:r>
      <w:r>
        <w:rPr>
          <w:rFonts w:hint="eastAsia" w:ascii="宋体" w:hAnsi="宋体" w:eastAsia="宋体" w:cs="宋体"/>
          <w:snapToGrid/>
          <w:sz w:val="24"/>
          <w:szCs w:val="20"/>
          <w:highlight w:val="none"/>
          <w:lang w:eastAsia="zh-CN"/>
        </w:rPr>
        <w:t>某评委对某一投标人的综合评审得分低于12分的或者高于18分的</w:t>
      </w:r>
      <w:r>
        <w:rPr>
          <w:rFonts w:hint="eastAsia" w:ascii="宋体" w:hAnsi="宋体" w:eastAsia="宋体" w:cs="宋体"/>
          <w:snapToGrid/>
          <w:sz w:val="24"/>
          <w:szCs w:val="20"/>
          <w:lang w:eastAsia="zh-CN"/>
        </w:rPr>
        <w:t>，该评委应在评分时用文字列出得分低或得分高的具体理由；没有列出文字理由的，由评标委员会主任督促该评委列出文字理由。经督促仍未作列出文字理由的，则该评委对该投标人施工组织设计的评分无效，由评标委员会对该投标人的评分按照有效评分人的评分运用前述算术平均规则重新计算该投标人施工组织设计的得分，同时由现场监督人员将该评委的行为记入评委考核档案。</w:t>
      </w:r>
    </w:p>
    <w:p w14:paraId="023A376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4、投标人提交的施工组织设计方案（技术标一），属于明显文不对题（如将房建类做成市政类;房建类无桩基、幕墙工程但出现桩基、幕墙工艺；各项计划明显前后矛盾的等）的，一律作废标处理。</w:t>
      </w:r>
    </w:p>
    <w:p w14:paraId="0E6B68F2">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9A5C430">
      <w:pPr>
        <w:rPr>
          <w:lang w:eastAsia="zh-CN"/>
        </w:rPr>
      </w:pPr>
    </w:p>
    <w:p w14:paraId="77643FB9">
      <w:pPr>
        <w:widowControl w:val="0"/>
        <w:kinsoku/>
        <w:autoSpaceDE/>
        <w:autoSpaceDN/>
        <w:adjustRightInd/>
        <w:snapToGrid/>
        <w:jc w:val="both"/>
        <w:textAlignment w:val="auto"/>
        <w:outlineLvl w:val="3"/>
        <w:rPr>
          <w:rFonts w:hint="eastAsia" w:ascii="宋体" w:hAnsi="宋体" w:eastAsia="宋体" w:cs="Times New Roman"/>
          <w:b/>
          <w:snapToGrid/>
          <w:sz w:val="28"/>
          <w:szCs w:val="28"/>
          <w:lang w:eastAsia="zh-CN"/>
        </w:rPr>
      </w:pPr>
      <w:r>
        <w:rPr>
          <w:rFonts w:hint="eastAsia" w:ascii="宋体" w:hAnsi="宋体" w:eastAsia="宋体" w:cs="Times New Roman"/>
          <w:b/>
          <w:snapToGrid/>
          <w:sz w:val="28"/>
          <w:szCs w:val="28"/>
          <w:lang w:eastAsia="zh-CN"/>
        </w:rPr>
        <w:t>技术标二评分（</w:t>
      </w:r>
      <w:r>
        <w:rPr>
          <w:rFonts w:hint="eastAsia" w:ascii="宋体" w:hAnsi="宋体" w:eastAsia="宋体" w:cs="Times New Roman"/>
          <w:b/>
          <w:snapToGrid/>
          <w:sz w:val="28"/>
          <w:szCs w:val="28"/>
          <w:lang w:val="en-US" w:eastAsia="zh-CN"/>
        </w:rPr>
        <w:t>8</w:t>
      </w:r>
      <w:r>
        <w:rPr>
          <w:rFonts w:hint="eastAsia" w:ascii="宋体" w:hAnsi="宋体" w:eastAsia="宋体" w:cs="Times New Roman"/>
          <w:b/>
          <w:snapToGrid/>
          <w:sz w:val="28"/>
          <w:szCs w:val="28"/>
          <w:lang w:eastAsia="zh-CN"/>
        </w:rPr>
        <w:t>分）</w:t>
      </w:r>
    </w:p>
    <w:p w14:paraId="5BED97B0">
      <w:pPr>
        <w:rPr>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079"/>
        <w:gridCol w:w="1138"/>
        <w:gridCol w:w="4824"/>
        <w:gridCol w:w="872"/>
      </w:tblGrid>
      <w:tr w14:paraId="598E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1053" w:type="pct"/>
            <w:gridSpan w:val="2"/>
            <w:tcBorders>
              <w:bottom w:val="single" w:color="auto" w:sz="4" w:space="0"/>
              <w:right w:val="single" w:color="auto" w:sz="4" w:space="0"/>
            </w:tcBorders>
            <w:vAlign w:val="center"/>
          </w:tcPr>
          <w:p w14:paraId="44E121F7">
            <w:pPr>
              <w:widowControl w:val="0"/>
              <w:spacing w:line="360" w:lineRule="auto"/>
              <w:ind w:right="106"/>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条款号</w:t>
            </w:r>
          </w:p>
        </w:tc>
        <w:tc>
          <w:tcPr>
            <w:tcW w:w="657" w:type="pct"/>
            <w:tcBorders>
              <w:left w:val="single" w:color="auto" w:sz="4" w:space="0"/>
              <w:bottom w:val="single" w:color="auto" w:sz="4" w:space="0"/>
              <w:right w:val="single" w:color="auto" w:sz="4" w:space="0"/>
            </w:tcBorders>
            <w:vAlign w:val="center"/>
          </w:tcPr>
          <w:p w14:paraId="0BE0D135">
            <w:pPr>
              <w:widowControl w:val="0"/>
              <w:spacing w:line="360" w:lineRule="auto"/>
              <w:ind w:right="106"/>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评审</w:t>
            </w:r>
          </w:p>
          <w:p w14:paraId="4AC694E0">
            <w:pPr>
              <w:widowControl w:val="0"/>
              <w:spacing w:line="360" w:lineRule="auto"/>
              <w:ind w:right="106"/>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因素</w:t>
            </w:r>
          </w:p>
        </w:tc>
        <w:tc>
          <w:tcPr>
            <w:tcW w:w="2785" w:type="pct"/>
            <w:tcBorders>
              <w:left w:val="single" w:color="auto" w:sz="4" w:space="0"/>
              <w:bottom w:val="single" w:color="auto" w:sz="4" w:space="0"/>
              <w:right w:val="single" w:color="auto" w:sz="4" w:space="0"/>
            </w:tcBorders>
            <w:vAlign w:val="center"/>
          </w:tcPr>
          <w:p w14:paraId="3F4A3F2D">
            <w:pPr>
              <w:widowControl w:val="0"/>
              <w:spacing w:line="360" w:lineRule="auto"/>
              <w:ind w:right="106"/>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评分标准</w:t>
            </w:r>
          </w:p>
        </w:tc>
        <w:tc>
          <w:tcPr>
            <w:tcW w:w="503" w:type="pct"/>
            <w:tcBorders>
              <w:left w:val="single" w:color="auto" w:sz="4" w:space="0"/>
              <w:bottom w:val="single" w:color="auto" w:sz="4" w:space="0"/>
            </w:tcBorders>
            <w:vAlign w:val="center"/>
          </w:tcPr>
          <w:p w14:paraId="1E66671C">
            <w:pPr>
              <w:widowControl w:val="0"/>
              <w:spacing w:line="360" w:lineRule="auto"/>
              <w:ind w:right="106"/>
              <w:jc w:val="center"/>
              <w:rPr>
                <w:rFonts w:hint="eastAsia" w:ascii="宋体" w:hAnsi="宋体" w:eastAsia="宋体" w:cs="宋体"/>
                <w:b/>
                <w:bCs/>
                <w:snapToGrid/>
                <w:spacing w:val="1"/>
                <w:kern w:val="2"/>
                <w:lang w:eastAsia="zh-CN"/>
              </w:rPr>
            </w:pPr>
            <w:r>
              <w:rPr>
                <w:rFonts w:hint="eastAsia" w:ascii="宋体" w:hAnsi="宋体" w:eastAsia="宋体" w:cs="宋体"/>
                <w:b/>
                <w:bCs/>
                <w:snapToGrid/>
                <w:spacing w:val="1"/>
                <w:kern w:val="2"/>
                <w:lang w:eastAsia="zh-CN"/>
              </w:rPr>
              <w:t>满分</w:t>
            </w:r>
          </w:p>
        </w:tc>
      </w:tr>
      <w:tr w14:paraId="1859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restart"/>
            <w:tcBorders>
              <w:top w:val="single" w:color="auto" w:sz="4" w:space="0"/>
              <w:right w:val="single" w:color="auto" w:sz="4" w:space="0"/>
            </w:tcBorders>
            <w:vAlign w:val="center"/>
          </w:tcPr>
          <w:p w14:paraId="4456DADD">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技</w:t>
            </w:r>
          </w:p>
          <w:p w14:paraId="53172D32">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术</w:t>
            </w:r>
          </w:p>
          <w:p w14:paraId="3B2DB9FF">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标</w:t>
            </w:r>
          </w:p>
          <w:p w14:paraId="64453584">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二</w:t>
            </w:r>
          </w:p>
          <w:p w14:paraId="4E22E68A">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w:t>
            </w:r>
            <w:r>
              <w:rPr>
                <w:rFonts w:hint="eastAsia" w:ascii="宋体" w:hAnsi="宋体" w:eastAsia="宋体" w:cs="宋体"/>
                <w:snapToGrid/>
                <w:spacing w:val="1"/>
                <w:kern w:val="2"/>
                <w:lang w:val="en-US" w:eastAsia="zh-CN"/>
              </w:rPr>
              <w:t>8</w:t>
            </w:r>
          </w:p>
          <w:p w14:paraId="2BF310F4">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分）</w:t>
            </w:r>
          </w:p>
        </w:tc>
        <w:tc>
          <w:tcPr>
            <w:tcW w:w="623" w:type="pct"/>
            <w:vMerge w:val="restart"/>
            <w:tcBorders>
              <w:top w:val="single" w:color="auto" w:sz="4" w:space="0"/>
              <w:left w:val="single" w:color="auto" w:sz="4" w:space="0"/>
              <w:bottom w:val="single" w:color="auto" w:sz="4" w:space="0"/>
              <w:right w:val="single" w:color="auto" w:sz="4" w:space="0"/>
            </w:tcBorders>
            <w:vAlign w:val="center"/>
          </w:tcPr>
          <w:p w14:paraId="26DE2BCC">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项目管理机构（5.5分）</w:t>
            </w:r>
          </w:p>
        </w:tc>
        <w:tc>
          <w:tcPr>
            <w:tcW w:w="657" w:type="pct"/>
            <w:tcBorders>
              <w:top w:val="single" w:color="auto" w:sz="4" w:space="0"/>
              <w:left w:val="single" w:color="auto" w:sz="4" w:space="0"/>
              <w:bottom w:val="single" w:color="auto" w:sz="4" w:space="0"/>
              <w:right w:val="single" w:color="auto" w:sz="4" w:space="0"/>
            </w:tcBorders>
            <w:vAlign w:val="center"/>
          </w:tcPr>
          <w:p w14:paraId="3442EBB4">
            <w:pPr>
              <w:widowControl w:val="0"/>
              <w:kinsoku/>
              <w:autoSpaceDE/>
              <w:autoSpaceDN/>
              <w:adjustRightInd/>
              <w:snapToGrid/>
              <w:spacing w:line="360" w:lineRule="auto"/>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1.项目经理任职资格</w:t>
            </w:r>
          </w:p>
        </w:tc>
        <w:tc>
          <w:tcPr>
            <w:tcW w:w="2785" w:type="pct"/>
            <w:tcBorders>
              <w:top w:val="single" w:color="auto" w:sz="4" w:space="0"/>
              <w:left w:val="single" w:color="auto" w:sz="4" w:space="0"/>
              <w:bottom w:val="single" w:color="auto" w:sz="4" w:space="0"/>
              <w:right w:val="single" w:color="auto" w:sz="4" w:space="0"/>
            </w:tcBorders>
            <w:vAlign w:val="center"/>
          </w:tcPr>
          <w:p w14:paraId="065933E2">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满足招标公告要求得1.5分。</w:t>
            </w:r>
          </w:p>
          <w:p w14:paraId="27281043">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注：投标文件中提供建造师注册证书原件扫描件。</w:t>
            </w:r>
          </w:p>
        </w:tc>
        <w:tc>
          <w:tcPr>
            <w:tcW w:w="503" w:type="pct"/>
            <w:tcBorders>
              <w:top w:val="single" w:color="auto" w:sz="4" w:space="0"/>
              <w:left w:val="single" w:color="auto" w:sz="4" w:space="0"/>
              <w:bottom w:val="single" w:color="auto" w:sz="4" w:space="0"/>
            </w:tcBorders>
            <w:vAlign w:val="center"/>
          </w:tcPr>
          <w:p w14:paraId="4704A5CB">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1.5分</w:t>
            </w:r>
          </w:p>
        </w:tc>
      </w:tr>
      <w:tr w14:paraId="5CE5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tcBorders>
              <w:right w:val="single" w:color="auto" w:sz="4" w:space="0"/>
            </w:tcBorders>
            <w:vAlign w:val="center"/>
          </w:tcPr>
          <w:p w14:paraId="310E8FFC">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23" w:type="pct"/>
            <w:vMerge w:val="continue"/>
            <w:tcBorders>
              <w:top w:val="single" w:color="auto" w:sz="4" w:space="0"/>
              <w:left w:val="single" w:color="auto" w:sz="4" w:space="0"/>
              <w:bottom w:val="single" w:color="auto" w:sz="4" w:space="0"/>
              <w:right w:val="single" w:color="auto" w:sz="4" w:space="0"/>
            </w:tcBorders>
            <w:vAlign w:val="center"/>
          </w:tcPr>
          <w:p w14:paraId="16B68992">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57" w:type="pct"/>
            <w:tcBorders>
              <w:top w:val="single" w:color="auto" w:sz="4" w:space="0"/>
              <w:left w:val="single" w:color="auto" w:sz="4" w:space="0"/>
              <w:bottom w:val="single" w:color="auto" w:sz="4" w:space="0"/>
              <w:right w:val="single" w:color="auto" w:sz="4" w:space="0"/>
            </w:tcBorders>
            <w:vAlign w:val="center"/>
          </w:tcPr>
          <w:p w14:paraId="73C86367">
            <w:pPr>
              <w:widowControl w:val="0"/>
              <w:kinsoku/>
              <w:autoSpaceDE/>
              <w:autoSpaceDN/>
              <w:adjustRightInd/>
              <w:snapToGrid/>
              <w:spacing w:line="360" w:lineRule="auto"/>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2.设计负责人</w:t>
            </w:r>
          </w:p>
        </w:tc>
        <w:tc>
          <w:tcPr>
            <w:tcW w:w="2785" w:type="pct"/>
            <w:tcBorders>
              <w:top w:val="single" w:color="auto" w:sz="4" w:space="0"/>
              <w:left w:val="single" w:color="auto" w:sz="4" w:space="0"/>
              <w:bottom w:val="single" w:color="auto" w:sz="4" w:space="0"/>
              <w:right w:val="single" w:color="auto" w:sz="4" w:space="0"/>
            </w:tcBorders>
            <w:vAlign w:val="center"/>
          </w:tcPr>
          <w:p w14:paraId="699A5D8D">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满足招标公告要求得1.5分。</w:t>
            </w:r>
          </w:p>
          <w:p w14:paraId="6203E33B">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注：投标文件中提供职称证书原件扫描件。</w:t>
            </w:r>
          </w:p>
        </w:tc>
        <w:tc>
          <w:tcPr>
            <w:tcW w:w="503" w:type="pct"/>
            <w:tcBorders>
              <w:top w:val="single" w:color="auto" w:sz="4" w:space="0"/>
              <w:left w:val="single" w:color="auto" w:sz="4" w:space="0"/>
              <w:bottom w:val="single" w:color="auto" w:sz="4" w:space="0"/>
            </w:tcBorders>
            <w:vAlign w:val="center"/>
          </w:tcPr>
          <w:p w14:paraId="4A3135AF">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1.5分</w:t>
            </w:r>
          </w:p>
        </w:tc>
      </w:tr>
      <w:tr w14:paraId="1AD9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tcBorders>
              <w:right w:val="single" w:color="auto" w:sz="4" w:space="0"/>
            </w:tcBorders>
            <w:vAlign w:val="center"/>
          </w:tcPr>
          <w:p w14:paraId="669EE443">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23" w:type="pct"/>
            <w:vMerge w:val="continue"/>
            <w:tcBorders>
              <w:top w:val="single" w:color="auto" w:sz="4" w:space="0"/>
              <w:left w:val="single" w:color="auto" w:sz="4" w:space="0"/>
              <w:bottom w:val="single" w:color="auto" w:sz="4" w:space="0"/>
              <w:right w:val="single" w:color="auto" w:sz="4" w:space="0"/>
            </w:tcBorders>
            <w:vAlign w:val="center"/>
          </w:tcPr>
          <w:p w14:paraId="78A7C942">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57" w:type="pct"/>
            <w:tcBorders>
              <w:top w:val="single" w:color="auto" w:sz="4" w:space="0"/>
              <w:left w:val="single" w:color="auto" w:sz="4" w:space="0"/>
              <w:bottom w:val="single" w:color="auto" w:sz="4" w:space="0"/>
              <w:right w:val="single" w:color="auto" w:sz="4" w:space="0"/>
            </w:tcBorders>
            <w:vAlign w:val="center"/>
          </w:tcPr>
          <w:p w14:paraId="57E0F0E5">
            <w:pPr>
              <w:widowControl w:val="0"/>
              <w:kinsoku/>
              <w:autoSpaceDE/>
              <w:autoSpaceDN/>
              <w:adjustRightInd/>
              <w:snapToGrid/>
              <w:spacing w:line="360" w:lineRule="auto"/>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3.技术负责人任职资格</w:t>
            </w:r>
          </w:p>
        </w:tc>
        <w:tc>
          <w:tcPr>
            <w:tcW w:w="2785" w:type="pct"/>
            <w:tcBorders>
              <w:top w:val="single" w:color="auto" w:sz="4" w:space="0"/>
              <w:left w:val="single" w:color="auto" w:sz="4" w:space="0"/>
              <w:bottom w:val="single" w:color="auto" w:sz="4" w:space="0"/>
              <w:right w:val="single" w:color="auto" w:sz="4" w:space="0"/>
            </w:tcBorders>
            <w:vAlign w:val="center"/>
          </w:tcPr>
          <w:p w14:paraId="6B866E36">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满足招标文件要求得1分。</w:t>
            </w:r>
          </w:p>
          <w:p w14:paraId="1F3EF279">
            <w:pPr>
              <w:widowControl w:val="0"/>
              <w:spacing w:line="360" w:lineRule="auto"/>
              <w:ind w:right="106" w:firstLine="424" w:firstLineChars="200"/>
              <w:jc w:val="both"/>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注：投标文件中提供职称证书原件扫描件。</w:t>
            </w:r>
          </w:p>
        </w:tc>
        <w:tc>
          <w:tcPr>
            <w:tcW w:w="503" w:type="pct"/>
            <w:tcBorders>
              <w:top w:val="single" w:color="auto" w:sz="4" w:space="0"/>
              <w:left w:val="single" w:color="auto" w:sz="4" w:space="0"/>
              <w:bottom w:val="single" w:color="auto" w:sz="4" w:space="0"/>
            </w:tcBorders>
            <w:vAlign w:val="center"/>
          </w:tcPr>
          <w:p w14:paraId="4CE8D250">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1分</w:t>
            </w:r>
          </w:p>
        </w:tc>
      </w:tr>
      <w:tr w14:paraId="5E09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tcBorders>
              <w:right w:val="single" w:color="auto" w:sz="4" w:space="0"/>
            </w:tcBorders>
            <w:vAlign w:val="center"/>
          </w:tcPr>
          <w:p w14:paraId="1A090A7A">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23" w:type="pct"/>
            <w:vMerge w:val="continue"/>
            <w:tcBorders>
              <w:top w:val="single" w:color="auto" w:sz="4" w:space="0"/>
              <w:left w:val="single" w:color="auto" w:sz="4" w:space="0"/>
              <w:bottom w:val="single" w:color="auto" w:sz="4" w:space="0"/>
              <w:right w:val="single" w:color="auto" w:sz="4" w:space="0"/>
            </w:tcBorders>
            <w:vAlign w:val="center"/>
          </w:tcPr>
          <w:p w14:paraId="67E3A3DD">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57" w:type="pct"/>
            <w:tcBorders>
              <w:top w:val="single" w:color="auto" w:sz="4" w:space="0"/>
              <w:left w:val="single" w:color="auto" w:sz="4" w:space="0"/>
              <w:bottom w:val="single" w:color="auto" w:sz="4" w:space="0"/>
              <w:right w:val="single" w:color="auto" w:sz="4" w:space="0"/>
            </w:tcBorders>
            <w:vAlign w:val="center"/>
          </w:tcPr>
          <w:p w14:paraId="2312424F">
            <w:pPr>
              <w:widowControl w:val="0"/>
              <w:kinsoku/>
              <w:autoSpaceDE/>
              <w:autoSpaceDN/>
              <w:adjustRightInd/>
              <w:snapToGrid/>
              <w:spacing w:line="360" w:lineRule="auto"/>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4.其他主要人员</w:t>
            </w:r>
          </w:p>
        </w:tc>
        <w:tc>
          <w:tcPr>
            <w:tcW w:w="2785" w:type="pct"/>
            <w:tcBorders>
              <w:top w:val="single" w:color="auto" w:sz="4" w:space="0"/>
              <w:left w:val="single" w:color="auto" w:sz="4" w:space="0"/>
              <w:bottom w:val="single" w:color="auto" w:sz="4" w:space="0"/>
              <w:right w:val="single" w:color="auto" w:sz="4" w:space="0"/>
            </w:tcBorders>
            <w:vAlign w:val="center"/>
          </w:tcPr>
          <w:p w14:paraId="0E868F3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lang w:eastAsia="zh-CN"/>
              </w:rPr>
            </w:pPr>
            <w:r>
              <w:rPr>
                <w:rFonts w:hint="eastAsia" w:ascii="宋体" w:hAnsi="宋体" w:eastAsia="宋体" w:cs="宋体"/>
                <w:snapToGrid/>
                <w:lang w:eastAsia="zh-CN"/>
              </w:rPr>
              <w:t>施工员、质量员、安全员等项目班子成员人员数量、结构满足招标文件要求的得1.5分，不满足的不得分。</w:t>
            </w:r>
          </w:p>
        </w:tc>
        <w:tc>
          <w:tcPr>
            <w:tcW w:w="503" w:type="pct"/>
            <w:tcBorders>
              <w:top w:val="single" w:color="auto" w:sz="4" w:space="0"/>
              <w:left w:val="single" w:color="auto" w:sz="4" w:space="0"/>
              <w:bottom w:val="single" w:color="auto" w:sz="4" w:space="0"/>
            </w:tcBorders>
            <w:vAlign w:val="center"/>
          </w:tcPr>
          <w:p w14:paraId="5B301102">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1.5分</w:t>
            </w:r>
          </w:p>
        </w:tc>
      </w:tr>
      <w:tr w14:paraId="298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0" w:type="pct"/>
            <w:vMerge w:val="continue"/>
            <w:tcBorders>
              <w:right w:val="single" w:color="auto" w:sz="4" w:space="0"/>
            </w:tcBorders>
            <w:vAlign w:val="center"/>
          </w:tcPr>
          <w:p w14:paraId="27FA064A">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23" w:type="pct"/>
            <w:vMerge w:val="restart"/>
            <w:tcBorders>
              <w:top w:val="single" w:color="auto" w:sz="4" w:space="0"/>
              <w:left w:val="single" w:color="auto" w:sz="4" w:space="0"/>
              <w:right w:val="single" w:color="auto" w:sz="4" w:space="0"/>
            </w:tcBorders>
            <w:vAlign w:val="center"/>
          </w:tcPr>
          <w:p w14:paraId="3DCFFDAE">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项目班子主要成员业绩</w:t>
            </w:r>
          </w:p>
          <w:p w14:paraId="6F43C9E9">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（2.5分）</w:t>
            </w:r>
          </w:p>
        </w:tc>
        <w:tc>
          <w:tcPr>
            <w:tcW w:w="657" w:type="pct"/>
            <w:tcBorders>
              <w:top w:val="single" w:color="auto" w:sz="4" w:space="0"/>
              <w:left w:val="single" w:color="auto" w:sz="4" w:space="0"/>
              <w:bottom w:val="single" w:color="auto" w:sz="4" w:space="0"/>
              <w:right w:val="single" w:color="auto" w:sz="4" w:space="0"/>
            </w:tcBorders>
            <w:vAlign w:val="center"/>
          </w:tcPr>
          <w:p w14:paraId="16A5D759">
            <w:pPr>
              <w:widowControl w:val="0"/>
              <w:kinsoku/>
              <w:autoSpaceDE/>
              <w:autoSpaceDN/>
              <w:adjustRightInd/>
              <w:snapToGrid/>
              <w:spacing w:line="360" w:lineRule="auto"/>
              <w:jc w:val="center"/>
              <w:textAlignment w:val="auto"/>
              <w:rPr>
                <w:rFonts w:hint="eastAsia" w:ascii="宋体" w:hAnsi="宋体" w:eastAsia="宋体" w:cs="宋体"/>
                <w:snapToGrid/>
                <w:lang w:eastAsia="zh-CN"/>
              </w:rPr>
            </w:pPr>
            <w:r>
              <w:rPr>
                <w:rFonts w:hint="eastAsia" w:ascii="宋体" w:hAnsi="宋体" w:eastAsia="宋体" w:cs="宋体"/>
                <w:snapToGrid/>
                <w:lang w:eastAsia="zh-CN"/>
              </w:rPr>
              <w:t>1、项目经理（建造师）业绩</w:t>
            </w:r>
          </w:p>
        </w:tc>
        <w:tc>
          <w:tcPr>
            <w:tcW w:w="2785" w:type="pct"/>
            <w:tcBorders>
              <w:top w:val="single" w:color="auto" w:sz="4" w:space="0"/>
              <w:left w:val="single" w:color="auto" w:sz="4" w:space="0"/>
              <w:bottom w:val="single" w:color="auto" w:sz="4" w:space="0"/>
              <w:right w:val="single" w:color="auto" w:sz="4" w:space="0"/>
            </w:tcBorders>
            <w:vAlign w:val="center"/>
          </w:tcPr>
          <w:p w14:paraId="734333C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lang w:eastAsia="zh-CN"/>
              </w:rPr>
            </w:pPr>
            <w:bookmarkStart w:id="29" w:name="OLE_LINK7"/>
            <w:r>
              <w:rPr>
                <w:rFonts w:hint="eastAsia" w:ascii="宋体" w:hAnsi="宋体" w:eastAsia="宋体" w:cs="宋体"/>
                <w:snapToGrid/>
                <w:lang w:eastAsia="zh-CN"/>
              </w:rPr>
              <w:t>近五年内项目经理（建造师）有一个类似工程业绩满足招标文件要求的得1.5分。</w:t>
            </w:r>
          </w:p>
          <w:p w14:paraId="7426D10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lang w:eastAsia="zh-CN"/>
              </w:rPr>
            </w:pPr>
            <w:r>
              <w:rPr>
                <w:rFonts w:hint="eastAsia" w:ascii="宋体" w:hAnsi="宋体" w:eastAsia="宋体" w:cs="宋体"/>
                <w:snapToGrid/>
                <w:lang w:eastAsia="zh-CN"/>
              </w:rPr>
              <w:t>注：此项累计最高得1.5分。项目经理（建造师）业绩必须是在项目经理（建造师）岗位上的业绩投标文件中提供资料要求见技术标二评审说明第2条。</w:t>
            </w:r>
            <w:bookmarkEnd w:id="29"/>
          </w:p>
        </w:tc>
        <w:tc>
          <w:tcPr>
            <w:tcW w:w="503" w:type="pct"/>
            <w:tcBorders>
              <w:top w:val="single" w:color="auto" w:sz="4" w:space="0"/>
              <w:left w:val="single" w:color="auto" w:sz="4" w:space="0"/>
              <w:bottom w:val="single" w:color="auto" w:sz="4" w:space="0"/>
            </w:tcBorders>
            <w:vAlign w:val="center"/>
          </w:tcPr>
          <w:p w14:paraId="102D00B0">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1.5分</w:t>
            </w:r>
          </w:p>
        </w:tc>
      </w:tr>
      <w:tr w14:paraId="4EEC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0" w:type="pct"/>
            <w:vMerge w:val="continue"/>
            <w:tcBorders>
              <w:right w:val="single" w:color="auto" w:sz="4" w:space="0"/>
            </w:tcBorders>
            <w:vAlign w:val="center"/>
          </w:tcPr>
          <w:p w14:paraId="318C9A25">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23" w:type="pct"/>
            <w:vMerge w:val="continue"/>
            <w:tcBorders>
              <w:left w:val="single" w:color="auto" w:sz="4" w:space="0"/>
              <w:bottom w:val="single" w:color="auto" w:sz="4" w:space="0"/>
              <w:right w:val="single" w:color="auto" w:sz="4" w:space="0"/>
            </w:tcBorders>
            <w:vAlign w:val="center"/>
          </w:tcPr>
          <w:p w14:paraId="7A025C39">
            <w:pPr>
              <w:widowControl w:val="0"/>
              <w:spacing w:line="360" w:lineRule="auto"/>
              <w:ind w:right="106" w:firstLine="424" w:firstLineChars="200"/>
              <w:jc w:val="center"/>
              <w:rPr>
                <w:rFonts w:hint="eastAsia" w:ascii="宋体" w:hAnsi="宋体" w:eastAsia="宋体" w:cs="宋体"/>
                <w:snapToGrid/>
                <w:spacing w:val="1"/>
                <w:kern w:val="2"/>
                <w:lang w:eastAsia="zh-CN"/>
              </w:rPr>
            </w:pPr>
          </w:p>
        </w:tc>
        <w:tc>
          <w:tcPr>
            <w:tcW w:w="657" w:type="pct"/>
            <w:tcBorders>
              <w:top w:val="single" w:color="auto" w:sz="4" w:space="0"/>
              <w:left w:val="single" w:color="auto" w:sz="4" w:space="0"/>
              <w:bottom w:val="single" w:color="auto" w:sz="4" w:space="0"/>
              <w:right w:val="single" w:color="auto" w:sz="4" w:space="0"/>
            </w:tcBorders>
            <w:vAlign w:val="center"/>
          </w:tcPr>
          <w:p w14:paraId="4798EE4B">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2、设计负责人业绩</w:t>
            </w:r>
          </w:p>
        </w:tc>
        <w:tc>
          <w:tcPr>
            <w:tcW w:w="2785" w:type="pct"/>
            <w:tcBorders>
              <w:top w:val="single" w:color="auto" w:sz="4" w:space="0"/>
              <w:left w:val="single" w:color="auto" w:sz="4" w:space="0"/>
              <w:bottom w:val="single" w:color="auto" w:sz="4" w:space="0"/>
              <w:right w:val="single" w:color="auto" w:sz="4" w:space="0"/>
            </w:tcBorders>
            <w:vAlign w:val="center"/>
          </w:tcPr>
          <w:p w14:paraId="50FA893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lang w:eastAsia="zh-CN"/>
              </w:rPr>
            </w:pPr>
            <w:r>
              <w:rPr>
                <w:rFonts w:hint="eastAsia" w:ascii="宋体" w:hAnsi="宋体" w:eastAsia="宋体" w:cs="宋体"/>
                <w:snapToGrid/>
                <w:lang w:eastAsia="zh-CN"/>
              </w:rPr>
              <w:t>近五年内设计负责人具有一个类似工程设计业绩满足招标文件要求的得1分。</w:t>
            </w:r>
          </w:p>
          <w:p w14:paraId="366DDD6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lang w:eastAsia="zh-CN"/>
              </w:rPr>
            </w:pPr>
            <w:r>
              <w:rPr>
                <w:rFonts w:hint="eastAsia" w:ascii="宋体" w:hAnsi="宋体" w:eastAsia="宋体" w:cs="宋体"/>
                <w:snapToGrid/>
                <w:lang w:eastAsia="zh-CN"/>
              </w:rPr>
              <w:t>注：此项最高得1分。设计负责人业绩必须是在设计负责人岗位上的业绩；投标文件中提供资料要求见技术标二评审说明第2条。</w:t>
            </w:r>
          </w:p>
        </w:tc>
        <w:tc>
          <w:tcPr>
            <w:tcW w:w="503" w:type="pct"/>
            <w:tcBorders>
              <w:top w:val="single" w:color="auto" w:sz="4" w:space="0"/>
              <w:left w:val="single" w:color="auto" w:sz="4" w:space="0"/>
              <w:bottom w:val="single" w:color="auto" w:sz="4" w:space="0"/>
            </w:tcBorders>
            <w:vAlign w:val="center"/>
          </w:tcPr>
          <w:p w14:paraId="2FD30ED6">
            <w:pPr>
              <w:widowControl w:val="0"/>
              <w:spacing w:line="360" w:lineRule="auto"/>
              <w:ind w:right="106"/>
              <w:jc w:val="center"/>
              <w:rPr>
                <w:rFonts w:hint="eastAsia" w:ascii="宋体" w:hAnsi="宋体" w:eastAsia="宋体" w:cs="宋体"/>
                <w:snapToGrid/>
                <w:spacing w:val="1"/>
                <w:kern w:val="2"/>
                <w:lang w:eastAsia="zh-CN"/>
              </w:rPr>
            </w:pPr>
            <w:r>
              <w:rPr>
                <w:rFonts w:hint="eastAsia" w:ascii="宋体" w:hAnsi="宋体" w:eastAsia="宋体" w:cs="宋体"/>
                <w:snapToGrid/>
                <w:spacing w:val="1"/>
                <w:kern w:val="2"/>
                <w:lang w:eastAsia="zh-CN"/>
              </w:rPr>
              <w:t>1分</w:t>
            </w:r>
          </w:p>
        </w:tc>
      </w:tr>
    </w:tbl>
    <w:p w14:paraId="3B081B41">
      <w:pPr>
        <w:widowControl w:val="0"/>
        <w:kinsoku/>
        <w:autoSpaceDE/>
        <w:autoSpaceDN/>
        <w:adjustRightInd/>
        <w:snapToGrid/>
        <w:spacing w:line="400" w:lineRule="exact"/>
        <w:jc w:val="both"/>
        <w:textAlignment w:val="auto"/>
        <w:rPr>
          <w:rFonts w:hint="eastAsia" w:ascii="宋体" w:hAnsi="宋体" w:eastAsia="宋体" w:cs="宋体"/>
          <w:b/>
          <w:bCs/>
          <w:snapToGrid/>
          <w:sz w:val="24"/>
          <w:szCs w:val="20"/>
          <w:lang w:eastAsia="zh-CN"/>
        </w:rPr>
      </w:pPr>
      <w:bookmarkStart w:id="30" w:name="_Toc200336337"/>
    </w:p>
    <w:p w14:paraId="410A53A5">
      <w:pPr>
        <w:widowControl w:val="0"/>
        <w:kinsoku/>
        <w:autoSpaceDE/>
        <w:autoSpaceDN/>
        <w:adjustRightInd/>
        <w:snapToGrid/>
        <w:spacing w:line="400" w:lineRule="exact"/>
        <w:jc w:val="both"/>
        <w:textAlignment w:val="auto"/>
        <w:rPr>
          <w:rFonts w:hint="eastAsia" w:ascii="宋体" w:hAnsi="宋体" w:eastAsia="宋体" w:cs="宋体"/>
          <w:b/>
          <w:bCs/>
          <w:snapToGrid/>
          <w:sz w:val="24"/>
          <w:szCs w:val="20"/>
          <w:lang w:eastAsia="zh-CN"/>
        </w:rPr>
      </w:pPr>
      <w:r>
        <w:rPr>
          <w:rFonts w:hint="eastAsia" w:ascii="宋体" w:hAnsi="宋体" w:eastAsia="宋体" w:cs="宋体"/>
          <w:b/>
          <w:bCs/>
          <w:snapToGrid/>
          <w:sz w:val="24"/>
          <w:szCs w:val="20"/>
          <w:lang w:eastAsia="zh-CN"/>
        </w:rPr>
        <w:t>技术标二评审说明：</w:t>
      </w:r>
    </w:p>
    <w:p w14:paraId="4437C24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1、技术标二的评审，由评委对照投标人编入到投标文件中的信息原件扫描件（</w:t>
      </w:r>
      <w:r>
        <w:rPr>
          <w:rFonts w:hint="eastAsia" w:ascii="宋体" w:hAnsi="宋体" w:eastAsia="宋体" w:cs="宋体"/>
          <w:bCs/>
          <w:snapToGrid/>
          <w:sz w:val="24"/>
          <w:szCs w:val="24"/>
          <w:lang w:eastAsia="zh-CN"/>
        </w:rPr>
        <w:t>其中：</w:t>
      </w:r>
      <w:r>
        <w:rPr>
          <w:rFonts w:ascii="宋体" w:hAnsi="宋体" w:eastAsia="宋体" w:cs="宋体"/>
          <w:bCs/>
          <w:snapToGrid/>
          <w:sz w:val="24"/>
          <w:szCs w:val="24"/>
          <w:lang w:eastAsia="zh-CN"/>
        </w:rPr>
        <w:t>一级建造师电子注册证书</w:t>
      </w:r>
      <w:r>
        <w:rPr>
          <w:rFonts w:hint="eastAsia" w:ascii="宋体" w:hAnsi="宋体" w:eastAsia="宋体" w:cs="宋体"/>
          <w:bCs/>
          <w:snapToGrid/>
          <w:sz w:val="24"/>
          <w:szCs w:val="24"/>
          <w:lang w:eastAsia="zh-CN"/>
        </w:rPr>
        <w:t>的评审</w:t>
      </w:r>
      <w:r>
        <w:rPr>
          <w:rFonts w:ascii="宋体" w:hAnsi="宋体" w:eastAsia="宋体" w:cs="宋体"/>
          <w:bCs/>
          <w:snapToGrid/>
          <w:sz w:val="24"/>
          <w:szCs w:val="24"/>
          <w:lang w:eastAsia="zh-CN"/>
        </w:rPr>
        <w:t>应按《住房和城乡建设部办公厅关于全面实行一级建造师电子注册证书的通知》(建办市〔2021〕40号)执行</w:t>
      </w:r>
      <w:r>
        <w:rPr>
          <w:rFonts w:hint="eastAsia" w:ascii="宋体" w:hAnsi="宋体" w:eastAsia="宋体" w:cs="宋体"/>
          <w:bCs/>
          <w:snapToGrid/>
          <w:sz w:val="24"/>
          <w:szCs w:val="24"/>
          <w:lang w:eastAsia="zh-CN"/>
        </w:rPr>
        <w:t>，具体见技术标二评审说明</w:t>
      </w:r>
      <w:r>
        <w:rPr>
          <w:rFonts w:hint="eastAsia" w:ascii="宋体" w:hAnsi="宋体" w:eastAsia="宋体" w:cs="宋体"/>
          <w:snapToGrid/>
          <w:sz w:val="24"/>
          <w:szCs w:val="24"/>
          <w:lang w:eastAsia="zh-CN"/>
        </w:rPr>
        <w:t>）按照程序核对后，对照得分标准确定相应的分值。严禁采取分人主评后由其他评委抄袭分数或一人主评其他附和签名的方式评分。出现违反前述规定评标的，一律由现场监督人员对评委记不良行为记录一次。</w:t>
      </w:r>
    </w:p>
    <w:p w14:paraId="2A24CF66">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2、上述评分表要求的业绩，投标文件中应提供下列业绩证明材料：</w:t>
      </w:r>
    </w:p>
    <w:p w14:paraId="613538F8">
      <w:pPr>
        <w:widowControl w:val="0"/>
        <w:kinsoku/>
        <w:autoSpaceDE/>
        <w:autoSpaceDN/>
        <w:adjustRightInd/>
        <w:snapToGrid/>
        <w:spacing w:line="400" w:lineRule="exact"/>
        <w:ind w:firstLine="482" w:firstLineChars="200"/>
        <w:jc w:val="both"/>
        <w:textAlignment w:val="auto"/>
        <w:rPr>
          <w:rFonts w:hint="eastAsia" w:ascii="宋体" w:hAnsi="宋体" w:eastAsia="宋体" w:cs="宋体"/>
          <w:snapToGrid/>
          <w:sz w:val="24"/>
          <w:szCs w:val="24"/>
          <w:lang w:eastAsia="zh-CN"/>
        </w:rPr>
      </w:pPr>
      <w:bookmarkStart w:id="31" w:name="OLE_LINK8"/>
      <w:r>
        <w:rPr>
          <w:rFonts w:hint="eastAsia" w:ascii="宋体" w:hAnsi="宋体" w:eastAsia="宋体" w:cs="宋体"/>
          <w:b/>
          <w:bCs/>
          <w:snapToGrid/>
          <w:sz w:val="24"/>
          <w:szCs w:val="24"/>
          <w:lang w:eastAsia="zh-CN"/>
        </w:rPr>
        <w:t>施工类业绩：</w:t>
      </w:r>
      <w:r>
        <w:rPr>
          <w:rFonts w:hint="eastAsia" w:ascii="宋体" w:hAnsi="宋体" w:eastAsia="宋体" w:cs="宋体"/>
          <w:snapToGrid/>
          <w:sz w:val="24"/>
          <w:szCs w:val="24"/>
          <w:lang w:eastAsia="zh-CN"/>
        </w:rPr>
        <w:t>投标文件中须同时提供以下①和②资料原件扫描件，否则，该项目业绩评标委员会不予认可。</w:t>
      </w:r>
    </w:p>
    <w:p w14:paraId="51D775C8">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①合同协议书；</w:t>
      </w:r>
    </w:p>
    <w:p w14:paraId="51CE64E1">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highlight w:val="none"/>
          <w:lang w:eastAsia="zh-CN"/>
        </w:rPr>
        <w:t>②竣工验收证明材料：竣</w:t>
      </w:r>
      <w:r>
        <w:rPr>
          <w:rFonts w:hint="eastAsia" w:ascii="宋体" w:hAnsi="宋体" w:eastAsia="宋体" w:cs="宋体"/>
          <w:snapToGrid/>
          <w:sz w:val="24"/>
          <w:szCs w:val="24"/>
          <w:lang w:eastAsia="zh-CN"/>
        </w:rPr>
        <w:t>工验收报告或竣工验收备案表或行政主管部门颁发的竣工验收证明材料或至少有建设单位、设计单位、监理单位、施工单位四方参与竣工验收并盖章的竣工验收证明材料。业绩认定时间以竣工验收时间为准，竣工验收时间以竣工验收建设单位签章落款时间为准。</w:t>
      </w:r>
    </w:p>
    <w:p w14:paraId="7600E2CD">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如投标人提供的上述业绩证明材料未能完整或充分反映评审因素（如合同总金额、业绩规模、合同内容等关键评审要素）的，应另附合同发包方出具的证明材料（须加盖合同发包方单位公章）予以明确说明，否则评标委员会不予认可。</w:t>
      </w:r>
    </w:p>
    <w:bookmarkEnd w:id="31"/>
    <w:p w14:paraId="1B09D53A">
      <w:pPr>
        <w:widowControl w:val="0"/>
        <w:kinsoku/>
        <w:autoSpaceDE/>
        <w:autoSpaceDN/>
        <w:adjustRightInd/>
        <w:snapToGrid/>
        <w:spacing w:line="400" w:lineRule="exact"/>
        <w:ind w:firstLine="482" w:firstLineChars="200"/>
        <w:jc w:val="both"/>
        <w:textAlignment w:val="auto"/>
        <w:rPr>
          <w:rFonts w:hint="eastAsia" w:ascii="宋体" w:hAnsi="宋体" w:eastAsia="宋体" w:cs="宋体"/>
          <w:snapToGrid/>
          <w:sz w:val="24"/>
          <w:szCs w:val="24"/>
          <w:highlight w:val="none"/>
          <w:lang w:eastAsia="zh-CN"/>
        </w:rPr>
      </w:pPr>
      <w:r>
        <w:rPr>
          <w:rFonts w:hint="eastAsia" w:ascii="宋体" w:hAnsi="宋体" w:eastAsia="宋体" w:cs="宋体"/>
          <w:b/>
          <w:bCs/>
          <w:snapToGrid/>
          <w:sz w:val="24"/>
          <w:szCs w:val="24"/>
          <w:lang w:eastAsia="zh-CN"/>
        </w:rPr>
        <w:t>设计类业绩：</w:t>
      </w:r>
      <w:r>
        <w:rPr>
          <w:rFonts w:hint="eastAsia" w:ascii="宋体" w:hAnsi="宋体" w:eastAsia="宋体" w:cs="宋体"/>
          <w:snapToGrid/>
          <w:sz w:val="24"/>
          <w:szCs w:val="24"/>
          <w:lang w:eastAsia="zh-CN"/>
        </w:rPr>
        <w:t>投标文件中须同时提供以下①和②资料原件扫描件，否则，该业绩</w:t>
      </w:r>
      <w:r>
        <w:rPr>
          <w:rFonts w:hint="eastAsia" w:ascii="宋体" w:hAnsi="宋体" w:eastAsia="宋体" w:cs="宋体"/>
          <w:snapToGrid/>
          <w:sz w:val="24"/>
          <w:szCs w:val="24"/>
          <w:highlight w:val="none"/>
          <w:lang w:eastAsia="zh-CN"/>
        </w:rPr>
        <w:t>不予认可。</w:t>
      </w:r>
    </w:p>
    <w:p w14:paraId="6345C432">
      <w:pPr>
        <w:pStyle w:val="44"/>
        <w:numPr>
          <w:ilvl w:val="0"/>
          <w:numId w:val="8"/>
        </w:numPr>
        <w:spacing w:line="400" w:lineRule="exact"/>
        <w:ind w:firstLineChars="0"/>
        <w:rPr>
          <w:rFonts w:hint="eastAsia" w:ascii="宋体" w:hAnsi="宋体" w:cs="宋体"/>
          <w:sz w:val="24"/>
          <w:szCs w:val="24"/>
          <w:highlight w:val="none"/>
        </w:rPr>
      </w:pPr>
      <w:r>
        <w:rPr>
          <w:rFonts w:hint="eastAsia" w:ascii="宋体" w:hAnsi="宋体" w:cs="宋体"/>
          <w:sz w:val="24"/>
          <w:szCs w:val="24"/>
          <w:highlight w:val="none"/>
        </w:rPr>
        <w:t>合同协议书；</w:t>
      </w:r>
    </w:p>
    <w:p w14:paraId="729B3269">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highlight w:val="none"/>
          <w:lang w:eastAsia="zh-CN"/>
        </w:rPr>
        <w:t>②施工图图审合格证明材料（如无须进行施工图审查的项目需提供经主管部门或建设单位认可的相关施工图成果证明材料）。③时间以合同签订时间为准。如投标人提供的上述业绩证明材料未能完整或充分反映评审因素（如合同总投资、业绩规模、合同内容等关键评审要素）的，应另附合同发包方出具的证明材料（须加盖合同发包方单位公章）予以明确说明，否则评标委员会不予认可。如本次为联合体投标，则提供的业绩须为本次联合体中承担设计任务的一方提供符合要求的业绩予以认可。</w:t>
      </w:r>
    </w:p>
    <w:p w14:paraId="28F591C4">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投标人自行在安徽省公共资源交易市场主体库中录入企业基本信息、企业和项目经理业绩、企业和项目经理获奖情况等相关资料，并将相关证明、奖项、文件、合同等原件资料的扫描件在投标文件中体现。联合体投标的，企业业绩、奖项可以共享，但项目经理、技术负责人业绩不予共享。</w:t>
      </w:r>
    </w:p>
    <w:p w14:paraId="6FE5D3AF">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编入投标文件的各种证书、证照、证明、文件、业绩、奖项、荣誉等相关资料的扫描件的原件，其真实性、准确性、完整性等均由投标人负责，编入投标文件的原件扫描件必须与原件一致，否则按投标无效或废标处理。</w:t>
      </w:r>
    </w:p>
    <w:p w14:paraId="5EF6C55A">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投标人获奖奖项，属于省级及以上奖项的，颁发单位应为各级行政主管部门及其授权的机构或各级行业协会（其中行业协会应为经民政部门批准注册的行业协会），地市级奖项应为地市级行政主管部门颁发的，否则一律不予认可，按无效处理。</w:t>
      </w:r>
    </w:p>
    <w:p w14:paraId="3BFDF360">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评标委员会发现投标人提供的某项资料不符合得分条件或不符合某项评分得分标准（包括资料不齐不能印证是其承建的项目）等的，则应向投标人发出书面询标函，由投标人签字确认，但不得再接受投标人的补充资料。</w:t>
      </w:r>
    </w:p>
    <w:p w14:paraId="186E7003">
      <w:pPr>
        <w:widowControl w:val="0"/>
        <w:spacing w:line="400" w:lineRule="exact"/>
        <w:ind w:left="63" w:leftChars="30" w:right="63" w:rightChars="30" w:firstLine="480" w:firstLineChars="200"/>
        <w:rPr>
          <w:rFonts w:hint="eastAsia" w:ascii="宋体" w:hAnsi="宋体" w:eastAsia="宋体" w:cs="宋体"/>
          <w:sz w:val="24"/>
          <w:szCs w:val="24"/>
          <w:highlight w:val="green"/>
          <w:lang w:eastAsia="zh-CN"/>
        </w:rPr>
      </w:pPr>
      <w:r>
        <w:rPr>
          <w:rFonts w:hint="eastAsia" w:ascii="宋体" w:hAnsi="宋体" w:eastAsia="宋体" w:cs="宋体"/>
          <w:sz w:val="24"/>
          <w:szCs w:val="24"/>
          <w:lang w:eastAsia="zh-CN"/>
        </w:rPr>
        <w:t>6、近几年是指自投标截止之日向前推算，奖项认定日期以投标人提供的获奖证书或获奖文件的落款时间为准。同一范畴是指工程属于同一种类，如房建属于同一种类，而房建与市政、公路则不应作为同一范畴对待，其他亦然。本项目类似工程业绩是指：</w:t>
      </w:r>
      <w:bookmarkStart w:id="32" w:name="OLE_LINK9"/>
      <w:r>
        <w:rPr>
          <w:rFonts w:hint="eastAsia" w:ascii="宋体" w:hAnsi="宋体" w:eastAsia="宋体" w:cs="宋体"/>
          <w:b/>
          <w:bCs/>
          <w:sz w:val="24"/>
          <w:szCs w:val="24"/>
          <w:lang w:eastAsia="zh-CN"/>
        </w:rPr>
        <w:t>施工业绩，</w:t>
      </w:r>
      <w:r>
        <w:rPr>
          <w:rFonts w:hint="eastAsia" w:ascii="宋体" w:hAnsi="宋体" w:eastAsia="宋体" w:cs="宋体"/>
          <w:sz w:val="24"/>
          <w:szCs w:val="24"/>
          <w:lang w:eastAsia="zh-CN"/>
        </w:rPr>
        <w:t>近五年承担过单个合同总投资</w:t>
      </w:r>
      <w:r>
        <w:rPr>
          <w:rFonts w:hint="eastAsia" w:ascii="宋体" w:hAnsi="宋体" w:eastAsia="宋体" w:cs="宋体"/>
          <w:sz w:val="24"/>
          <w:szCs w:val="24"/>
          <w:highlight w:val="none"/>
          <w:lang w:eastAsia="zh-CN"/>
        </w:rPr>
        <w:t>4500万元及以上市政公用工程（含工程总承包）业绩</w:t>
      </w:r>
      <w:r>
        <w:rPr>
          <w:rFonts w:hint="eastAsia" w:ascii="宋体" w:hAnsi="宋体" w:eastAsia="宋体" w:cs="宋体"/>
          <w:snapToGrid/>
          <w:spacing w:val="3"/>
          <w:sz w:val="24"/>
          <w:szCs w:val="24"/>
          <w:highlight w:val="none"/>
          <w:lang w:eastAsia="zh-CN"/>
        </w:rPr>
        <w:t>（如为工程总承包业绩，投标人应在业绩中承担施工任</w:t>
      </w:r>
      <w:r>
        <w:rPr>
          <w:rFonts w:hint="eastAsia" w:ascii="宋体" w:hAnsi="宋体" w:eastAsia="宋体" w:cs="宋体"/>
          <w:snapToGrid/>
          <w:spacing w:val="-9"/>
          <w:sz w:val="24"/>
          <w:szCs w:val="24"/>
          <w:highlight w:val="none"/>
          <w:lang w:eastAsia="zh-CN"/>
        </w:rPr>
        <w:t>务）</w:t>
      </w:r>
      <w:r>
        <w:rPr>
          <w:rFonts w:hint="eastAsia" w:ascii="宋体" w:hAnsi="宋体" w:eastAsia="宋体" w:cs="宋体"/>
          <w:sz w:val="24"/>
          <w:szCs w:val="24"/>
          <w:highlight w:val="none"/>
          <w:lang w:eastAsia="zh-CN"/>
        </w:rPr>
        <w:t>；</w:t>
      </w:r>
      <w:bookmarkEnd w:id="32"/>
      <w:r>
        <w:rPr>
          <w:rFonts w:hint="eastAsia" w:ascii="宋体" w:hAnsi="宋体" w:eastAsia="宋体" w:cs="宋体"/>
          <w:b/>
          <w:bCs/>
          <w:sz w:val="24"/>
          <w:szCs w:val="24"/>
          <w:highlight w:val="none"/>
          <w:lang w:eastAsia="zh-CN"/>
        </w:rPr>
        <w:t>设计业绩，</w:t>
      </w:r>
      <w:r>
        <w:rPr>
          <w:rFonts w:hint="eastAsia" w:ascii="宋体" w:hAnsi="宋体" w:eastAsia="宋体" w:cs="宋体"/>
          <w:sz w:val="24"/>
          <w:szCs w:val="24"/>
          <w:highlight w:val="none"/>
          <w:lang w:eastAsia="zh-CN"/>
        </w:rPr>
        <w:t>是指近五年承担过单个合同总投资4500万元及以上市政公用工程（含工程总承包）业绩或者合同金额150万元</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lang w:eastAsia="zh-CN"/>
        </w:rPr>
        <w:t>的市政公用工程设计业绩（如为工程总承包业绩，投标人应在业绩中承担设计任务）；</w:t>
      </w:r>
      <w:r>
        <w:rPr>
          <w:rFonts w:hint="eastAsia" w:ascii="宋体" w:hAnsi="宋体" w:eastAsia="宋体" w:cs="宋体"/>
          <w:b/>
          <w:bCs/>
          <w:sz w:val="24"/>
          <w:szCs w:val="24"/>
          <w:highlight w:val="none"/>
          <w:lang w:eastAsia="zh-CN"/>
        </w:rPr>
        <w:t>项目经理业绩</w:t>
      </w:r>
      <w:r>
        <w:rPr>
          <w:rFonts w:hint="eastAsia" w:ascii="宋体" w:hAnsi="宋体" w:eastAsia="宋体" w:cs="宋体"/>
          <w:sz w:val="24"/>
          <w:szCs w:val="24"/>
          <w:highlight w:val="none"/>
          <w:lang w:eastAsia="zh-CN"/>
        </w:rPr>
        <w:t>，是指近五年承担过单个合同总投资4500万元及以上市政公用工程（含工程总承包）业绩；</w:t>
      </w:r>
      <w:r>
        <w:rPr>
          <w:rFonts w:hint="eastAsia" w:ascii="宋体" w:hAnsi="宋体" w:eastAsia="宋体" w:cs="宋体"/>
          <w:b/>
          <w:bCs/>
          <w:sz w:val="24"/>
          <w:szCs w:val="24"/>
          <w:highlight w:val="none"/>
          <w:lang w:eastAsia="zh-CN"/>
        </w:rPr>
        <w:t>设计负责人业绩</w:t>
      </w:r>
      <w:r>
        <w:rPr>
          <w:rFonts w:hint="eastAsia" w:ascii="宋体" w:hAnsi="宋体" w:eastAsia="宋体" w:cs="宋体"/>
          <w:sz w:val="24"/>
          <w:szCs w:val="24"/>
          <w:highlight w:val="none"/>
          <w:lang w:eastAsia="zh-CN"/>
        </w:rPr>
        <w:t>，是指近五年承担过单个合同总投资4500万元及以上市政公用工程（含工程总承包）业绩或者合同金额150万元</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lang w:eastAsia="zh-CN"/>
        </w:rPr>
        <w:t>的市政公用工程（含工程总承包）设计业绩。</w:t>
      </w:r>
      <w:r>
        <w:rPr>
          <w:rFonts w:ascii="宋体" w:hAnsi="宋体" w:eastAsia="宋体" w:cs="宋体"/>
          <w:spacing w:val="-2"/>
          <w:sz w:val="24"/>
          <w:szCs w:val="24"/>
          <w:lang w:eastAsia="zh-CN"/>
        </w:rPr>
        <w:t>本项目同一范畴是</w:t>
      </w:r>
      <w:r>
        <w:rPr>
          <w:rFonts w:hint="eastAsia" w:ascii="宋体" w:hAnsi="宋体" w:eastAsia="宋体" w:cs="宋体"/>
          <w:spacing w:val="1"/>
          <w:sz w:val="24"/>
          <w:szCs w:val="24"/>
          <w:lang w:eastAsia="zh-CN"/>
        </w:rPr>
        <w:t>市政</w:t>
      </w:r>
      <w:r>
        <w:rPr>
          <w:rFonts w:hint="eastAsia" w:ascii="宋体" w:hAnsi="宋体" w:eastAsia="宋体" w:cs="宋体"/>
          <w:spacing w:val="-6"/>
          <w:sz w:val="24"/>
          <w:szCs w:val="24"/>
          <w:lang w:eastAsia="zh-CN"/>
        </w:rPr>
        <w:t>公用</w:t>
      </w:r>
      <w:r>
        <w:rPr>
          <w:rFonts w:ascii="宋体" w:hAnsi="宋体" w:eastAsia="宋体" w:cs="宋体"/>
          <w:spacing w:val="-2"/>
          <w:sz w:val="24"/>
          <w:szCs w:val="24"/>
          <w:lang w:eastAsia="zh-CN"/>
        </w:rPr>
        <w:t>工程。</w:t>
      </w:r>
    </w:p>
    <w:p w14:paraId="5FCBD72A">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投标人必须保证其投标文件中所有资料的真实性、准确性和完整性。评标过程中，评标委员会发现投标人有弄虚作假（包括奖项、荣誉、信誉、业绩、资质证书、社保缴费证明、完税证明、授信文件等弄虚作假）行为嫌疑的，应在评标报告中注明弄虚作假嫌疑的情形并作出移送监督机关处理的意见。评标委员会发现有弄虚作假嫌疑的，由招标人及其代理机构提请并协助公共资源交易监督管理部门进行调查处理。情况属实的，并记不良行为记录，给予1年至3年的投标资格限制。公示期间或公示结束后，因被投诉或由招标人、监督机关发现有弄虚作假行为的，则其中标无效，记不良行为记录，给予1年至3年的投标资格限制，并由其承担造成的损失；构成犯罪的移交司法机关处理。</w:t>
      </w:r>
    </w:p>
    <w:p w14:paraId="2A0A4951">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8、评委违反评分标准、评分要件、评分程序评分的，一经发现，由评标委员会主任督促该评委纠正；不纠正的，除其评分应予纠正外，由现场监督人员记入评委考核档案，同时报管理部门依照评标专家管理规定进行处理。</w:t>
      </w:r>
    </w:p>
    <w:p w14:paraId="67AB60D8">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9、询标函格式附后。询标函用于评标过程中评标委员会向投标人发出并需由投标人作出澄清或确认的相关事实、内容的记录。具体项目询标函由该项目招标人或其代理机构制作备用。</w:t>
      </w:r>
    </w:p>
    <w:p w14:paraId="34AF360E">
      <w:pPr>
        <w:widowControl w:val="0"/>
        <w:kinsoku/>
        <w:autoSpaceDE/>
        <w:autoSpaceDN/>
        <w:adjustRightInd/>
        <w:snapToGrid/>
        <w:spacing w:line="400" w:lineRule="exact"/>
        <w:ind w:firstLine="480" w:firstLineChars="200"/>
        <w:jc w:val="both"/>
        <w:textAlignment w:val="auto"/>
        <w:rPr>
          <w:rFonts w:cs="宋体"/>
          <w:kern w:val="2"/>
          <w:lang w:eastAsia="zh-CN"/>
        </w:rPr>
      </w:pPr>
      <w:r>
        <w:rPr>
          <w:rFonts w:hint="eastAsia" w:ascii="宋体" w:hAnsi="宋体" w:eastAsia="宋体" w:cs="宋体"/>
          <w:snapToGrid/>
          <w:sz w:val="24"/>
          <w:szCs w:val="20"/>
          <w:lang w:eastAsia="zh-CN"/>
        </w:rPr>
        <w:t>10、与黄山杯等级相同的奖项是指各省、自治区、直辖市所评的建设工程省级最高荣誉奖项，如北京市长城杯、上海市白玉兰杯、天津市海河杯、重庆市巴渝杯、浙江省钱江杯、江苏省扬子杯、山东省泰山杯、广东省金匠奖、山西省汾水杯、陕西省长安杯、湖北省楚天杯、湖南省芙蓉杯、福建省闽江杯、河南省中州杯、江西省杜鹃花杯、四川省天府杯、海南省绿岛杯、贵州省黄果树杯、辽宁省世纪杯、吉林省长白山杯、黑龙江省龙江杯、青海省江河源杯、西藏雪莲杯、内蒙古草原杯、新疆天山杯、宁夏西夏杯、云南省优质工程一等奖、广西优质工程奖等。</w:t>
      </w:r>
    </w:p>
    <w:p w14:paraId="40B98D07">
      <w:pPr>
        <w:pStyle w:val="18"/>
        <w:shd w:val="clear" w:color="auto" w:fill="FFFFFF"/>
        <w:spacing w:before="0" w:beforeAutospacing="0" w:after="0" w:afterAutospacing="0" w:line="400" w:lineRule="exact"/>
        <w:ind w:right="96" w:firstLine="360" w:firstLineChars="150"/>
        <w:rPr>
          <w:rFonts w:hint="eastAsia" w:cs="宋体"/>
          <w:b/>
          <w:bCs/>
          <w:kern w:val="2"/>
        </w:rPr>
      </w:pPr>
      <w:r>
        <w:rPr>
          <w:rFonts w:hint="eastAsia" w:cs="宋体"/>
          <w:kern w:val="2"/>
        </w:rPr>
        <w:t>11、</w:t>
      </w:r>
      <w:r>
        <w:rPr>
          <w:rFonts w:hint="eastAsia" w:cs="宋体"/>
          <w:b/>
          <w:bCs/>
          <w:kern w:val="2"/>
        </w:rPr>
        <w:t>住房和城乡建设部办公厅关于全面实行一级建造师电子注册证书的通知</w:t>
      </w:r>
    </w:p>
    <w:p w14:paraId="29642C7F">
      <w:pPr>
        <w:pStyle w:val="18"/>
        <w:shd w:val="clear" w:color="auto" w:fill="FFFFFF"/>
        <w:spacing w:before="0" w:beforeAutospacing="0" w:after="0" w:afterAutospacing="0" w:line="400" w:lineRule="exact"/>
        <w:ind w:left="96" w:right="96" w:firstLine="360"/>
        <w:jc w:val="center"/>
        <w:rPr>
          <w:rFonts w:hint="eastAsia" w:cs="宋体"/>
          <w:b/>
          <w:bCs/>
          <w:kern w:val="2"/>
        </w:rPr>
      </w:pPr>
      <w:r>
        <w:rPr>
          <w:rFonts w:hint="eastAsia" w:cs="宋体"/>
          <w:b/>
          <w:bCs/>
          <w:kern w:val="2"/>
        </w:rPr>
        <w:t>住房和城乡建设部办公厅</w:t>
      </w:r>
    </w:p>
    <w:p w14:paraId="030BCDA5">
      <w:pPr>
        <w:pStyle w:val="18"/>
        <w:shd w:val="clear" w:color="auto" w:fill="FFFFFF"/>
        <w:spacing w:before="0" w:beforeAutospacing="0" w:after="0" w:afterAutospacing="0" w:line="400" w:lineRule="exact"/>
        <w:ind w:left="96" w:right="96" w:firstLine="360"/>
        <w:jc w:val="center"/>
        <w:rPr>
          <w:rFonts w:hint="eastAsia" w:cs="宋体"/>
          <w:b/>
          <w:bCs/>
          <w:kern w:val="2"/>
        </w:rPr>
      </w:pPr>
      <w:r>
        <w:rPr>
          <w:rFonts w:hint="eastAsia" w:cs="宋体"/>
          <w:b/>
          <w:bCs/>
          <w:kern w:val="2"/>
        </w:rPr>
        <w:t>关于全面实行一级建造师电子注册证书的通知</w:t>
      </w:r>
    </w:p>
    <w:p w14:paraId="76DCEDAF">
      <w:pPr>
        <w:pStyle w:val="18"/>
        <w:shd w:val="clear" w:color="auto" w:fill="FFFFFF"/>
        <w:spacing w:before="0" w:beforeAutospacing="0" w:after="0" w:afterAutospacing="0" w:line="400" w:lineRule="exact"/>
        <w:ind w:left="96" w:right="96" w:firstLine="280"/>
        <w:jc w:val="center"/>
        <w:rPr>
          <w:rFonts w:hint="eastAsia" w:cs="宋体"/>
          <w:kern w:val="2"/>
        </w:rPr>
      </w:pPr>
      <w:r>
        <w:rPr>
          <w:rFonts w:hint="eastAsia" w:cs="宋体"/>
          <w:b/>
          <w:bCs/>
          <w:kern w:val="2"/>
        </w:rPr>
        <w:t>建办市〔2021〕40号</w:t>
      </w:r>
    </w:p>
    <w:p w14:paraId="14973C01">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各省、自治区住房和城乡建设厅，直辖市住房和城乡建设（管）委，新疆生产建设兵团住房和城乡建设局，国务院有关部门建设司（局），中央军委后勤保障部军事设施建设局，有关中央企业：</w:t>
      </w:r>
    </w:p>
    <w:p w14:paraId="08E5AC49">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为扎实推进“我为群众办实事”实践活动，深化建筑业“放管服”改革，进一步提升政务服务规范化、便利化水平，我部决定在全国范围内实行一级建造师电子注册证书（以下简称电子证书），并开展延续注册工作。现将有关事项通知如下：</w:t>
      </w:r>
    </w:p>
    <w:p w14:paraId="6E0F2FA7">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b/>
          <w:bCs/>
          <w:kern w:val="2"/>
        </w:rPr>
        <w:t>一、工作内容</w:t>
      </w:r>
    </w:p>
    <w:p w14:paraId="57A41047">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（一）实行电子证书。</w:t>
      </w:r>
    </w:p>
    <w:p w14:paraId="4C116250">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1.自2021年10月15日起，在全国范围内实行一级建造师电子证书（具体示例及说明见附件1），电子证书式样按照《全国一体化在线政务服务平台电子证照一级建造师注册证书》标准执行（具体式样见附件2）。自2022年1月1日起，一级建造师统一使用电子证书，纸质注册证书作废。</w:t>
      </w:r>
    </w:p>
    <w:p w14:paraId="51F56DD4">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2.自2021年10月15日起，全国范围内准予一级建造师初始注册、增项注册、重新注册、延续注册的，不再发放纸质注册证书或加贴防伪贴；聘用单位基本信息修改的，不再加贴防伪贴；因纸质注册证书遗失、污损或个人信息修改等需重新发放注册证书的，不再补发或更换纸质注册证书。</w:t>
      </w:r>
    </w:p>
    <w:p w14:paraId="4F8344E4">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3.电子证书与纸质注册证书并行使用期间，其注册编号同时有效。2022年1月1日起，一级建造师应重新刻制执业印章，并使用电子证书上的注册编号。</w:t>
      </w:r>
    </w:p>
    <w:p w14:paraId="79F6C7B9">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4.各省（区、市）住房和城乡建设主管部门要会同有关行业主管部门创新监管模式，充分运用信息化手段，加快实现电子证书在招标投标、审批许可、项目管理、行业监管等环节的应用。</w:t>
      </w:r>
    </w:p>
    <w:p w14:paraId="0B590FCD">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（二）开展延续注册。</w:t>
      </w:r>
    </w:p>
    <w:p w14:paraId="72BFEE3B">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1.一级建造师注册专业有效期已过期的，应于2021年12月15日前提出延续注册申请；注册专业仍在有效期内的，应在有效期届满30日前提出延续注册申请；注册专业有效期届满且未提出延续注册申请的，自2022年1月1日起注册专业失效。</w:t>
      </w:r>
    </w:p>
    <w:p w14:paraId="48234791">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2.一级建造师申请延续注册的，应达到继续教育要求，并对本人完成继续教育情况作出承诺。</w:t>
      </w:r>
    </w:p>
    <w:p w14:paraId="0C7D6284">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3.准予延续注册的注册专业，其注册专业有效期从准予延续注册之日起计算。准予延续注册之日距65周岁不满3年的，有效期至65周岁当日。</w:t>
      </w:r>
    </w:p>
    <w:p w14:paraId="41391774">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b/>
          <w:bCs/>
          <w:kern w:val="2"/>
        </w:rPr>
        <w:t>二、电子证书有关使用要求</w:t>
      </w:r>
    </w:p>
    <w:p w14:paraId="46458B24">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一）一级建造师可登录国家政务服务平台、住房和城乡建设部政务服务门户查看和下载电子证书，具体操作流程可查阅《住房和城乡建设部一级建造师电子证照申领和使用手册》。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74F7C149">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（二）一级建造师打印电子证书后，应在个人签名处手写本人签名，未手写签名或与签名图像笔迹不一致的，该电子证书无效。</w:t>
      </w:r>
    </w:p>
    <w:p w14:paraId="5FBF0C39">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（三）一级建造师应妥善保管本人的国家政务服务平台账号，因本人保管不善造成账号信息泄露所产生的一切后果由本人承担。</w:t>
      </w:r>
    </w:p>
    <w:p w14:paraId="1F6C2E0D">
      <w:pPr>
        <w:pStyle w:val="18"/>
        <w:shd w:val="clear" w:color="auto" w:fill="FFFFFF"/>
        <w:spacing w:before="0" w:beforeAutospacing="0" w:after="0" w:afterAutospacing="0" w:line="400" w:lineRule="exact"/>
        <w:ind w:left="96" w:right="96" w:firstLine="320"/>
        <w:rPr>
          <w:rFonts w:hint="eastAsia" w:cs="宋体"/>
          <w:kern w:val="2"/>
        </w:rPr>
      </w:pPr>
      <w:r>
        <w:rPr>
          <w:rFonts w:hint="eastAsia" w:cs="宋体"/>
          <w:kern w:val="2"/>
        </w:rPr>
        <w:t>（四）有关单位和个人可通过“中国建造师网”微信公众号扫描电子证书上的二维码，查询一级建造师注册信息。</w:t>
      </w:r>
      <w:r>
        <w:rPr>
          <w:rFonts w:hint="eastAsia" w:cs="宋体"/>
          <w:kern w:val="2"/>
        </w:rPr>
        <w:br w:type="textWrapping"/>
      </w:r>
      <w:r>
        <w:rPr>
          <w:rFonts w:hint="eastAsia" w:cs="宋体"/>
          <w:kern w:val="2"/>
        </w:rPr>
        <w:t>（五）电子证书与纸质注册证书的聘用单位信息、个人基本信息、注册专业有效期等不一致的，以电子证书信息为准。电子证书信息发生变更的，需登录国家政务服务平台或住房和城乡建设部政务服务门户重新下载。</w:t>
      </w:r>
    </w:p>
    <w:p w14:paraId="142F6E8F">
      <w:pPr>
        <w:pStyle w:val="18"/>
        <w:shd w:val="clear" w:color="auto" w:fill="FFFFFF"/>
        <w:spacing w:before="0" w:beforeAutospacing="0" w:after="0" w:afterAutospacing="0" w:line="400" w:lineRule="exact"/>
        <w:ind w:right="96"/>
        <w:jc w:val="right"/>
        <w:rPr>
          <w:rFonts w:hint="eastAsia" w:cs="宋体"/>
          <w:kern w:val="2"/>
        </w:rPr>
      </w:pPr>
    </w:p>
    <w:p w14:paraId="7AB12283">
      <w:pPr>
        <w:pStyle w:val="18"/>
        <w:shd w:val="clear" w:color="auto" w:fill="FFFFFF"/>
        <w:spacing w:before="0" w:beforeAutospacing="0" w:after="0" w:afterAutospacing="0" w:line="400" w:lineRule="exact"/>
        <w:ind w:right="96"/>
        <w:jc w:val="right"/>
        <w:rPr>
          <w:rFonts w:hint="eastAsia" w:cs="宋体"/>
          <w:kern w:val="2"/>
        </w:rPr>
      </w:pPr>
    </w:p>
    <w:p w14:paraId="5E4AB3ED">
      <w:pPr>
        <w:pStyle w:val="18"/>
        <w:shd w:val="clear" w:color="auto" w:fill="FFFFFF"/>
        <w:spacing w:before="0" w:beforeAutospacing="0" w:after="0" w:afterAutospacing="0" w:line="400" w:lineRule="exact"/>
        <w:ind w:right="96"/>
        <w:jc w:val="right"/>
        <w:rPr>
          <w:rFonts w:hint="eastAsia" w:ascii="宋体" w:hAnsi="宋体" w:eastAsia="宋体" w:cs="宋体"/>
          <w:snapToGrid/>
          <w:sz w:val="44"/>
          <w:szCs w:val="44"/>
          <w:lang w:eastAsia="zh-CN"/>
        </w:rPr>
      </w:pPr>
      <w:r>
        <w:rPr>
          <w:rFonts w:hint="eastAsia" w:cs="宋体"/>
          <w:kern w:val="2"/>
        </w:rPr>
        <w:t>住房和城乡建设部办公厅</w:t>
      </w:r>
      <w:r>
        <w:rPr>
          <w:rFonts w:hint="eastAsia" w:cs="宋体"/>
          <w:kern w:val="2"/>
        </w:rPr>
        <w:br w:type="textWrapping"/>
      </w:r>
      <w:r>
        <w:rPr>
          <w:rFonts w:hint="eastAsia" w:cs="宋体"/>
          <w:kern w:val="2"/>
        </w:rPr>
        <w:t>2021年9月18日</w:t>
      </w:r>
    </w:p>
    <w:p w14:paraId="19017FF4">
      <w:pPr>
        <w:widowControl w:val="0"/>
        <w:kinsoku/>
        <w:autoSpaceDE/>
        <w:autoSpaceDN/>
        <w:adjustRightInd/>
        <w:snapToGrid/>
        <w:jc w:val="center"/>
        <w:textAlignment w:val="auto"/>
        <w:rPr>
          <w:rFonts w:hint="eastAsia" w:ascii="宋体" w:hAnsi="宋体" w:eastAsia="宋体" w:cs="宋体"/>
          <w:snapToGrid/>
          <w:sz w:val="44"/>
          <w:szCs w:val="44"/>
          <w:lang w:eastAsia="zh-CN"/>
        </w:rPr>
      </w:pPr>
      <w:r>
        <w:rPr>
          <w:rFonts w:hint="eastAsia" w:ascii="宋体" w:hAnsi="宋体" w:eastAsia="宋体" w:cs="宋体"/>
          <w:snapToGrid/>
          <w:sz w:val="44"/>
          <w:szCs w:val="44"/>
          <w:lang w:eastAsia="zh-CN"/>
        </w:rPr>
        <w:t>询标函</w:t>
      </w:r>
    </w:p>
    <w:p w14:paraId="6996695D">
      <w:pPr>
        <w:widowControl w:val="0"/>
        <w:kinsoku/>
        <w:autoSpaceDE/>
        <w:autoSpaceDN/>
        <w:adjustRightInd/>
        <w:snapToGrid/>
        <w:jc w:val="center"/>
        <w:textAlignment w:val="auto"/>
        <w:rPr>
          <w:rFonts w:hint="eastAsia" w:ascii="宋体" w:hAnsi="宋体" w:eastAsia="宋体" w:cs="宋体"/>
          <w:snapToGrid/>
          <w:sz w:val="44"/>
          <w:szCs w:val="44"/>
          <w:lang w:eastAsia="zh-CN"/>
        </w:rPr>
      </w:pPr>
    </w:p>
    <w:p w14:paraId="4A54F7B1">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项目名称：</w:t>
      </w:r>
    </w:p>
    <w:p w14:paraId="38AF1226">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项目编号：询标日期：年月日</w:t>
      </w:r>
    </w:p>
    <w:tbl>
      <w:tblPr>
        <w:tblStyle w:val="19"/>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855"/>
      </w:tblGrid>
      <w:tr w14:paraId="3309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366" w:type="dxa"/>
          </w:tcPr>
          <w:p w14:paraId="2F581545">
            <w:pPr>
              <w:widowControl w:val="0"/>
              <w:kinsoku/>
              <w:autoSpaceDE/>
              <w:autoSpaceDN/>
              <w:adjustRightInd/>
              <w:snapToGrid/>
              <w:jc w:val="center"/>
              <w:textAlignment w:val="auto"/>
              <w:rPr>
                <w:rFonts w:hint="eastAsia" w:ascii="宋体" w:hAnsi="宋体" w:eastAsia="宋体" w:cs="宋体"/>
                <w:snapToGrid/>
                <w:sz w:val="24"/>
                <w:szCs w:val="20"/>
                <w:lang w:eastAsia="zh-CN"/>
              </w:rPr>
            </w:pPr>
          </w:p>
          <w:p w14:paraId="6134CD42">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1B34AF9">
            <w:pPr>
              <w:widowControl w:val="0"/>
              <w:kinsoku/>
              <w:autoSpaceDE/>
              <w:autoSpaceDN/>
              <w:adjustRightInd/>
              <w:snapToGrid/>
              <w:ind w:firstLine="240" w:firstLineChars="1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询标</w:t>
            </w:r>
          </w:p>
          <w:p w14:paraId="164FFED0">
            <w:pPr>
              <w:widowControl w:val="0"/>
              <w:kinsoku/>
              <w:autoSpaceDE/>
              <w:autoSpaceDN/>
              <w:adjustRightInd/>
              <w:snapToGrid/>
              <w:jc w:val="center"/>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内容</w:t>
            </w:r>
          </w:p>
          <w:p w14:paraId="15EF2890">
            <w:pPr>
              <w:widowControl w:val="0"/>
              <w:kinsoku/>
              <w:autoSpaceDE/>
              <w:autoSpaceDN/>
              <w:adjustRightInd/>
              <w:snapToGrid/>
              <w:jc w:val="center"/>
              <w:textAlignment w:val="auto"/>
              <w:rPr>
                <w:rFonts w:hint="eastAsia" w:ascii="宋体" w:hAnsi="宋体" w:eastAsia="宋体" w:cs="宋体"/>
                <w:snapToGrid/>
                <w:sz w:val="18"/>
                <w:szCs w:val="18"/>
                <w:lang w:eastAsia="zh-CN"/>
              </w:rPr>
            </w:pPr>
            <w:r>
              <w:rPr>
                <w:rFonts w:hint="eastAsia" w:ascii="宋体" w:hAnsi="宋体" w:eastAsia="宋体" w:cs="宋体"/>
                <w:snapToGrid/>
                <w:sz w:val="18"/>
                <w:szCs w:val="18"/>
                <w:lang w:eastAsia="zh-CN"/>
              </w:rPr>
              <w:t>（由评</w:t>
            </w:r>
          </w:p>
          <w:p w14:paraId="12F3DC3B">
            <w:pPr>
              <w:widowControl w:val="0"/>
              <w:kinsoku/>
              <w:autoSpaceDE/>
              <w:autoSpaceDN/>
              <w:adjustRightInd/>
              <w:snapToGrid/>
              <w:jc w:val="center"/>
              <w:textAlignment w:val="auto"/>
              <w:rPr>
                <w:rFonts w:hint="eastAsia" w:ascii="宋体" w:hAnsi="宋体" w:eastAsia="宋体" w:cs="宋体"/>
                <w:snapToGrid/>
                <w:sz w:val="24"/>
                <w:szCs w:val="20"/>
                <w:lang w:eastAsia="zh-CN"/>
              </w:rPr>
            </w:pPr>
            <w:r>
              <w:rPr>
                <w:rFonts w:hint="eastAsia" w:ascii="宋体" w:hAnsi="宋体" w:eastAsia="宋体" w:cs="宋体"/>
                <w:snapToGrid/>
                <w:sz w:val="18"/>
                <w:szCs w:val="18"/>
                <w:lang w:eastAsia="zh-CN"/>
              </w:rPr>
              <w:t>委填写）</w:t>
            </w:r>
          </w:p>
        </w:tc>
        <w:tc>
          <w:tcPr>
            <w:tcW w:w="7855" w:type="dxa"/>
          </w:tcPr>
          <w:p w14:paraId="30547496">
            <w:pPr>
              <w:widowControl w:val="0"/>
              <w:kinsoku/>
              <w:autoSpaceDE/>
              <w:autoSpaceDN/>
              <w:adjustRightInd/>
              <w:snapToGrid/>
              <w:jc w:val="both"/>
              <w:textAlignment w:val="auto"/>
              <w:rPr>
                <w:rFonts w:hint="eastAsia" w:ascii="宋体" w:hAnsi="宋体" w:eastAsia="宋体" w:cs="宋体"/>
                <w:snapToGrid/>
                <w:sz w:val="24"/>
                <w:szCs w:val="20"/>
                <w:lang w:eastAsia="zh-CN"/>
              </w:rPr>
            </w:pPr>
          </w:p>
        </w:tc>
      </w:tr>
      <w:tr w14:paraId="06A8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1366" w:type="dxa"/>
          </w:tcPr>
          <w:p w14:paraId="0E401C35">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投标人的意见</w:t>
            </w:r>
          </w:p>
          <w:p w14:paraId="4C86DFDD">
            <w:pPr>
              <w:widowControl w:val="0"/>
              <w:kinsoku/>
              <w:autoSpaceDE/>
              <w:autoSpaceDN/>
              <w:adjustRightInd/>
              <w:snapToGrid/>
              <w:jc w:val="both"/>
              <w:textAlignment w:val="auto"/>
              <w:rPr>
                <w:rFonts w:hint="eastAsia" w:ascii="宋体" w:hAnsi="宋体" w:eastAsia="宋体" w:cs="宋体"/>
                <w:snapToGrid/>
                <w:sz w:val="18"/>
                <w:szCs w:val="18"/>
                <w:lang w:eastAsia="zh-CN"/>
              </w:rPr>
            </w:pPr>
          </w:p>
          <w:p w14:paraId="6D470D7B">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Times New Roman"/>
                <w:snapToGrid/>
                <w:sz w:val="18"/>
                <w:szCs w:val="18"/>
                <w:lang w:eastAsia="zh-CN"/>
              </w:rPr>
              <w:t>（作出确认或说明、纠正、补充、承诺等意见）</w:t>
            </w:r>
          </w:p>
        </w:tc>
        <w:tc>
          <w:tcPr>
            <w:tcW w:w="7855" w:type="dxa"/>
          </w:tcPr>
          <w:p w14:paraId="59DD0C9C">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1039B04A">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102CC4C7">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2085BB1F">
            <w:pPr>
              <w:widowControl w:val="0"/>
              <w:kinsoku/>
              <w:autoSpaceDE/>
              <w:autoSpaceDN/>
              <w:adjustRightInd/>
              <w:snapToGrid/>
              <w:jc w:val="center"/>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投标人电子签章：</w:t>
            </w:r>
          </w:p>
          <w:p w14:paraId="456849E9">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CE84B95">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年月日</w:t>
            </w:r>
          </w:p>
        </w:tc>
      </w:tr>
      <w:tr w14:paraId="7834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366" w:type="dxa"/>
          </w:tcPr>
          <w:p w14:paraId="05AE602D">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0DAC50B4">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26A0BF44">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评标委员会结论意见</w:t>
            </w:r>
          </w:p>
        </w:tc>
        <w:tc>
          <w:tcPr>
            <w:tcW w:w="7855" w:type="dxa"/>
          </w:tcPr>
          <w:p w14:paraId="7FD65E2E">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5DE7F9AE">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27626280">
            <w:pPr>
              <w:widowControl w:val="0"/>
              <w:kinsoku/>
              <w:autoSpaceDE/>
              <w:autoSpaceDN/>
              <w:adjustRightInd/>
              <w:snapToGrid/>
              <w:jc w:val="center"/>
              <w:textAlignment w:val="auto"/>
              <w:rPr>
                <w:rFonts w:hint="eastAsia" w:ascii="宋体" w:hAnsi="宋体" w:eastAsia="宋体" w:cs="宋体"/>
                <w:snapToGrid/>
                <w:sz w:val="24"/>
                <w:szCs w:val="20"/>
                <w:lang w:eastAsia="zh-CN"/>
              </w:rPr>
            </w:pPr>
          </w:p>
          <w:p w14:paraId="04699D9F">
            <w:pPr>
              <w:widowControl w:val="0"/>
              <w:kinsoku/>
              <w:autoSpaceDE/>
              <w:autoSpaceDN/>
              <w:adjustRightInd/>
              <w:snapToGrid/>
              <w:jc w:val="center"/>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各评委电子签章：</w:t>
            </w:r>
          </w:p>
          <w:p w14:paraId="62D09D6C">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年月日</w:t>
            </w:r>
          </w:p>
        </w:tc>
      </w:tr>
      <w:tr w14:paraId="1D62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04FEA287">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37ADD88E">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招标代表的意见</w:t>
            </w:r>
          </w:p>
        </w:tc>
        <w:tc>
          <w:tcPr>
            <w:tcW w:w="7855" w:type="dxa"/>
          </w:tcPr>
          <w:p w14:paraId="23598C51">
            <w:pPr>
              <w:widowControl w:val="0"/>
              <w:kinsoku/>
              <w:autoSpaceDE/>
              <w:autoSpaceDN/>
              <w:adjustRightInd/>
              <w:snapToGrid/>
              <w:jc w:val="right"/>
              <w:textAlignment w:val="auto"/>
              <w:rPr>
                <w:rFonts w:hint="eastAsia" w:ascii="宋体" w:hAnsi="宋体" w:eastAsia="宋体" w:cs="宋体"/>
                <w:snapToGrid/>
                <w:sz w:val="24"/>
                <w:szCs w:val="20"/>
                <w:lang w:eastAsia="zh-CN"/>
              </w:rPr>
            </w:pPr>
          </w:p>
          <w:p w14:paraId="3D68B2E7">
            <w:pPr>
              <w:widowControl w:val="0"/>
              <w:kinsoku/>
              <w:autoSpaceDE/>
              <w:autoSpaceDN/>
              <w:adjustRightInd/>
              <w:snapToGrid/>
              <w:jc w:val="right"/>
              <w:textAlignment w:val="auto"/>
              <w:rPr>
                <w:rFonts w:hint="eastAsia" w:ascii="宋体" w:hAnsi="宋体" w:eastAsia="宋体" w:cs="宋体"/>
                <w:snapToGrid/>
                <w:sz w:val="24"/>
                <w:szCs w:val="20"/>
                <w:lang w:eastAsia="zh-CN"/>
              </w:rPr>
            </w:pPr>
          </w:p>
          <w:p w14:paraId="74A41996">
            <w:pPr>
              <w:widowControl w:val="0"/>
              <w:kinsoku/>
              <w:autoSpaceDE/>
              <w:autoSpaceDN/>
              <w:adjustRightInd/>
              <w:snapToGrid/>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电子签章：</w:t>
            </w:r>
          </w:p>
          <w:p w14:paraId="56768F3E">
            <w:pPr>
              <w:pStyle w:val="2"/>
              <w:ind w:left="63" w:right="63" w:firstLine="240"/>
              <w:jc w:val="right"/>
              <w:rPr>
                <w:rFonts w:ascii="宋体"/>
              </w:rPr>
            </w:pPr>
            <w:r>
              <w:rPr>
                <w:rFonts w:hint="eastAsia"/>
              </w:rPr>
              <w:t>/</w:t>
            </w:r>
            <w:r>
              <w:rPr>
                <w:rFonts w:hint="eastAsia" w:ascii="宋体" w:hAnsi="宋体" w:cs="宋体"/>
              </w:rPr>
              <w:t>年月日</w:t>
            </w:r>
          </w:p>
        </w:tc>
      </w:tr>
      <w:tr w14:paraId="3212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366" w:type="dxa"/>
          </w:tcPr>
          <w:p w14:paraId="5B2C2E28">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8F3A2C0">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5B78102">
            <w:pPr>
              <w:widowControl w:val="0"/>
              <w:kinsoku/>
              <w:autoSpaceDE/>
              <w:autoSpaceDN/>
              <w:adjustRightInd/>
              <w:snapToGrid/>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监督人员</w:t>
            </w:r>
          </w:p>
          <w:p w14:paraId="2BDCFABA">
            <w:pPr>
              <w:widowControl w:val="0"/>
              <w:kinsoku/>
              <w:autoSpaceDE/>
              <w:autoSpaceDN/>
              <w:adjustRightInd/>
              <w:snapToGrid/>
              <w:ind w:firstLine="240" w:firstLineChars="1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意见</w:t>
            </w:r>
          </w:p>
        </w:tc>
        <w:tc>
          <w:tcPr>
            <w:tcW w:w="7855" w:type="dxa"/>
          </w:tcPr>
          <w:p w14:paraId="578B729B">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1BB897A0">
            <w:pPr>
              <w:widowControl w:val="0"/>
              <w:kinsoku/>
              <w:autoSpaceDE/>
              <w:autoSpaceDN/>
              <w:adjustRightInd/>
              <w:snapToGrid/>
              <w:jc w:val="right"/>
              <w:textAlignment w:val="auto"/>
              <w:rPr>
                <w:rFonts w:hint="eastAsia" w:ascii="宋体" w:hAnsi="宋体" w:eastAsia="宋体" w:cs="宋体"/>
                <w:snapToGrid/>
                <w:sz w:val="24"/>
                <w:szCs w:val="20"/>
                <w:lang w:eastAsia="zh-CN"/>
              </w:rPr>
            </w:pPr>
          </w:p>
          <w:p w14:paraId="139D9D82">
            <w:pPr>
              <w:widowControl w:val="0"/>
              <w:kinsoku/>
              <w:autoSpaceDE/>
              <w:autoSpaceDN/>
              <w:adjustRightInd/>
              <w:snapToGrid/>
              <w:jc w:val="right"/>
              <w:textAlignment w:val="auto"/>
              <w:rPr>
                <w:rFonts w:hint="eastAsia" w:ascii="宋体" w:hAnsi="宋体" w:eastAsia="宋体" w:cs="宋体"/>
                <w:snapToGrid/>
                <w:sz w:val="24"/>
                <w:szCs w:val="20"/>
                <w:lang w:eastAsia="zh-CN"/>
              </w:rPr>
            </w:pPr>
          </w:p>
          <w:p w14:paraId="20B0498A">
            <w:pPr>
              <w:widowControl w:val="0"/>
              <w:kinsoku/>
              <w:autoSpaceDE/>
              <w:autoSpaceDN/>
              <w:adjustRightInd/>
              <w:snapToGrid/>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监督人员电子签章：</w:t>
            </w:r>
          </w:p>
          <w:p w14:paraId="2601E749">
            <w:pPr>
              <w:widowControl w:val="0"/>
              <w:kinsoku/>
              <w:autoSpaceDE/>
              <w:autoSpaceDN/>
              <w:adjustRightInd/>
              <w:snapToGrid/>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年月日</w:t>
            </w:r>
          </w:p>
        </w:tc>
      </w:tr>
    </w:tbl>
    <w:p w14:paraId="0F718261">
      <w:pPr>
        <w:rPr>
          <w:lang w:eastAsia="zh-CN"/>
        </w:rPr>
      </w:pPr>
      <w:bookmarkStart w:id="33" w:name="_Toc29864"/>
      <w:r>
        <w:rPr>
          <w:rFonts w:hint="eastAsia"/>
          <w:lang w:eastAsia="zh-CN"/>
        </w:rPr>
        <w:br w:type="page"/>
      </w:r>
    </w:p>
    <w:p w14:paraId="10A36E7A">
      <w:pPr>
        <w:widowControl w:val="0"/>
        <w:kinsoku/>
        <w:autoSpaceDE/>
        <w:autoSpaceDN/>
        <w:adjustRightInd/>
        <w:snapToGrid/>
        <w:spacing w:line="400" w:lineRule="exact"/>
        <w:jc w:val="both"/>
        <w:textAlignment w:val="auto"/>
        <w:outlineLvl w:val="1"/>
        <w:rPr>
          <w:rFonts w:hint="eastAsia" w:ascii="宋体" w:hAnsi="宋体" w:eastAsia="宋体" w:cs="宋体"/>
          <w:b/>
          <w:snapToGrid/>
          <w:sz w:val="28"/>
          <w:szCs w:val="28"/>
          <w:lang w:eastAsia="zh-CN"/>
        </w:rPr>
      </w:pPr>
      <w:r>
        <w:rPr>
          <w:rFonts w:hint="eastAsia" w:ascii="宋体" w:hAnsi="宋体" w:eastAsia="宋体" w:cs="宋体"/>
          <w:b/>
          <w:snapToGrid/>
          <w:sz w:val="28"/>
          <w:szCs w:val="28"/>
          <w:lang w:eastAsia="zh-CN"/>
        </w:rPr>
        <w:t>（十）评标结果</w:t>
      </w:r>
      <w:bookmarkEnd w:id="33"/>
    </w:p>
    <w:p w14:paraId="68D1EA60">
      <w:pPr>
        <w:widowControl w:val="0"/>
        <w:kinsoku/>
        <w:autoSpaceDE/>
        <w:autoSpaceDN/>
        <w:adjustRightInd/>
        <w:snapToGrid/>
        <w:spacing w:line="400" w:lineRule="exact"/>
        <w:ind w:firstLine="703" w:firstLineChars="293"/>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34.2.4评标结果</w:t>
      </w:r>
    </w:p>
    <w:p w14:paraId="58195D95">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34.2.4.1评标委员会按照商务标和技术标累计得分由高到低的顺序推荐3名中标候选人。</w:t>
      </w:r>
    </w:p>
    <w:p w14:paraId="60280EDE">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34.2.4.2评标委员会完成评标后，向招标人提交书面评标报告。</w:t>
      </w:r>
    </w:p>
    <w:p w14:paraId="7BCF5082">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34.2.4.3中标价为投标人投标报价。</w:t>
      </w:r>
    </w:p>
    <w:p w14:paraId="5B5080B6">
      <w:pPr>
        <w:pStyle w:val="43"/>
        <w:spacing w:before="0" w:after="0" w:line="400" w:lineRule="exact"/>
        <w:ind w:left="96" w:right="96" w:firstLine="360" w:firstLineChars="150"/>
        <w:rPr>
          <w:rFonts w:hint="eastAsia" w:hAnsi="宋体" w:cs="宋体"/>
          <w:b/>
          <w:strike/>
          <w:szCs w:val="24"/>
        </w:rPr>
      </w:pPr>
      <w:r>
        <w:rPr>
          <w:rFonts w:hint="eastAsia" w:hAnsi="宋体" w:cs="宋体"/>
        </w:rPr>
        <w:t>35、</w:t>
      </w:r>
      <w:bookmarkStart w:id="34" w:name="_Toc306204888"/>
      <w:bookmarkStart w:id="35" w:name="_Toc19954"/>
      <w:r>
        <w:rPr>
          <w:rFonts w:hint="eastAsia" w:hAnsi="宋体" w:cs="宋体"/>
        </w:rPr>
        <w:t>投标人(包括联合体各成员)有下列第（1）款至第（13）款情形之一者，一律否决其投标；有下列第（14）款至第（27）款情形之一者，一律否决其投标，由公共资源交易监督管理部门依法依规处理</w:t>
      </w:r>
      <w:r>
        <w:rPr>
          <w:rFonts w:hint="eastAsia" w:hAnsi="宋体" w:cs="宋体"/>
          <w:szCs w:val="24"/>
        </w:rPr>
        <w:t>。</w:t>
      </w:r>
    </w:p>
    <w:p w14:paraId="3A66BF21">
      <w:pPr>
        <w:pStyle w:val="44"/>
        <w:spacing w:line="400" w:lineRule="exact"/>
        <w:ind w:left="96" w:right="96" w:firstLine="480"/>
        <w:rPr>
          <w:rFonts w:hint="eastAsia" w:ascii="宋体" w:hAnsi="宋体" w:cs="宋体"/>
          <w:sz w:val="24"/>
        </w:rPr>
      </w:pPr>
      <w:r>
        <w:rPr>
          <w:rFonts w:hint="eastAsia" w:ascii="宋体" w:hAnsi="宋体" w:cs="宋体"/>
          <w:sz w:val="24"/>
        </w:rPr>
        <w:t>（1）投标文件中的工程量清单报价书相应位置未加盖工程造价人员“专用章”；</w:t>
      </w:r>
    </w:p>
    <w:p w14:paraId="12BF15E1">
      <w:pPr>
        <w:pStyle w:val="44"/>
        <w:spacing w:line="400" w:lineRule="exact"/>
        <w:ind w:left="31" w:leftChars="15" w:right="96" w:firstLine="480"/>
        <w:rPr>
          <w:rFonts w:hint="eastAsia" w:ascii="宋体" w:hAnsi="宋体" w:cs="宋体"/>
          <w:sz w:val="24"/>
        </w:rPr>
      </w:pPr>
      <w:r>
        <w:rPr>
          <w:rFonts w:hint="eastAsia" w:ascii="宋体" w:hAnsi="宋体" w:cs="宋体"/>
          <w:sz w:val="24"/>
        </w:rPr>
        <w:t>（2）投标函中投标报价、工期、质量不能满足招标文件要求的或作出的承诺与招标文件中提供的投标函样本中相关内容相抵触或有遗漏的；</w:t>
      </w:r>
    </w:p>
    <w:p w14:paraId="47B717C1">
      <w:pPr>
        <w:pStyle w:val="44"/>
        <w:spacing w:line="400" w:lineRule="exact"/>
        <w:ind w:left="96" w:right="96" w:firstLine="480"/>
        <w:rPr>
          <w:rFonts w:hint="eastAsia" w:ascii="宋体" w:hAnsi="宋体" w:cs="宋体"/>
          <w:sz w:val="24"/>
        </w:rPr>
      </w:pPr>
      <w:r>
        <w:rPr>
          <w:rFonts w:hint="eastAsia" w:ascii="宋体" w:hAnsi="宋体" w:cs="宋体"/>
          <w:sz w:val="24"/>
        </w:rPr>
        <w:t>（3）为招标人不具有独立法人资格的附属机构（单位）；</w:t>
      </w:r>
    </w:p>
    <w:p w14:paraId="561717BC">
      <w:pPr>
        <w:pStyle w:val="44"/>
        <w:spacing w:line="400" w:lineRule="exact"/>
        <w:ind w:left="96" w:right="96" w:firstLine="480"/>
        <w:rPr>
          <w:rFonts w:hint="eastAsia" w:ascii="宋体" w:hAnsi="宋体" w:cs="宋体"/>
          <w:sz w:val="24"/>
        </w:rPr>
      </w:pPr>
      <w:r>
        <w:rPr>
          <w:rFonts w:hint="eastAsia" w:ascii="宋体" w:hAnsi="宋体" w:cs="宋体"/>
          <w:sz w:val="24"/>
        </w:rPr>
        <w:t>（4）为本标段前期准备提供设计或咨询服务的，但设计施工总承包的除外；</w:t>
      </w:r>
    </w:p>
    <w:p w14:paraId="4EF67238">
      <w:pPr>
        <w:pStyle w:val="44"/>
        <w:spacing w:line="400" w:lineRule="exact"/>
        <w:ind w:left="96" w:right="96" w:firstLine="480"/>
        <w:rPr>
          <w:rFonts w:hint="eastAsia" w:ascii="宋体" w:hAnsi="宋体" w:cs="宋体"/>
          <w:sz w:val="24"/>
        </w:rPr>
      </w:pPr>
      <w:r>
        <w:rPr>
          <w:rFonts w:hint="eastAsia" w:ascii="宋体" w:hAnsi="宋体" w:cs="宋体"/>
          <w:sz w:val="24"/>
        </w:rPr>
        <w:t>（5）为本标段的监理人；</w:t>
      </w:r>
    </w:p>
    <w:p w14:paraId="5F88AFE6">
      <w:pPr>
        <w:pStyle w:val="44"/>
        <w:spacing w:line="400" w:lineRule="exact"/>
        <w:ind w:left="96" w:right="96" w:firstLine="480"/>
        <w:rPr>
          <w:rFonts w:hint="eastAsia" w:ascii="宋体" w:hAnsi="宋体" w:cs="宋体"/>
          <w:sz w:val="24"/>
        </w:rPr>
      </w:pPr>
      <w:r>
        <w:rPr>
          <w:rFonts w:hint="eastAsia" w:ascii="宋体" w:hAnsi="宋体" w:cs="宋体"/>
          <w:sz w:val="24"/>
        </w:rPr>
        <w:t>（6）为本标段的代建人；</w:t>
      </w:r>
    </w:p>
    <w:p w14:paraId="19D0F76E">
      <w:pPr>
        <w:pStyle w:val="44"/>
        <w:spacing w:line="400" w:lineRule="exact"/>
        <w:ind w:left="96" w:right="96" w:firstLine="480"/>
        <w:rPr>
          <w:rFonts w:hint="eastAsia" w:ascii="宋体" w:hAnsi="宋体" w:cs="宋体"/>
          <w:sz w:val="24"/>
        </w:rPr>
      </w:pPr>
      <w:r>
        <w:rPr>
          <w:rFonts w:hint="eastAsia" w:ascii="宋体" w:hAnsi="宋体" w:cs="宋体"/>
          <w:sz w:val="24"/>
        </w:rPr>
        <w:t>（7）为本标段提供招标代理服务的；</w:t>
      </w:r>
    </w:p>
    <w:p w14:paraId="00B0E785">
      <w:pPr>
        <w:pStyle w:val="44"/>
        <w:spacing w:line="400" w:lineRule="exact"/>
        <w:ind w:left="96" w:right="96" w:firstLine="480"/>
        <w:rPr>
          <w:rFonts w:hint="eastAsia" w:ascii="宋体" w:hAnsi="宋体" w:cs="宋体"/>
          <w:sz w:val="24"/>
        </w:rPr>
      </w:pPr>
      <w:r>
        <w:rPr>
          <w:rFonts w:hint="eastAsia" w:ascii="宋体" w:hAnsi="宋体" w:cs="宋体"/>
          <w:sz w:val="24"/>
        </w:rPr>
        <w:t>（8）与本标段的招标人、监理人或代建人或招标代理机构同为一个法定代表人的；</w:t>
      </w:r>
    </w:p>
    <w:p w14:paraId="1DAE8168">
      <w:pPr>
        <w:pStyle w:val="44"/>
        <w:spacing w:line="400" w:lineRule="exact"/>
        <w:ind w:left="96" w:right="96" w:firstLine="480"/>
        <w:rPr>
          <w:rFonts w:hint="eastAsia" w:ascii="宋体" w:hAnsi="宋体" w:cs="宋体"/>
          <w:sz w:val="24"/>
        </w:rPr>
      </w:pPr>
      <w:r>
        <w:rPr>
          <w:rFonts w:hint="eastAsia" w:ascii="宋体" w:hAnsi="宋体" w:cs="宋体"/>
          <w:sz w:val="24"/>
        </w:rPr>
        <w:t>（9）与本标段的招标人、监理人或代建人或招标代理机构相互控股或参股的；</w:t>
      </w:r>
    </w:p>
    <w:p w14:paraId="4AA72D14">
      <w:pPr>
        <w:pStyle w:val="44"/>
        <w:spacing w:line="400" w:lineRule="exact"/>
        <w:ind w:left="96" w:right="96" w:firstLine="480"/>
        <w:rPr>
          <w:rFonts w:hint="eastAsia" w:ascii="宋体" w:hAnsi="宋体" w:cs="宋体"/>
          <w:sz w:val="24"/>
        </w:rPr>
      </w:pPr>
      <w:r>
        <w:rPr>
          <w:rFonts w:hint="eastAsia" w:ascii="宋体" w:hAnsi="宋体" w:cs="宋体"/>
          <w:sz w:val="24"/>
        </w:rPr>
        <w:t>(10)与本标段的招标人、监理人或代建人或招标代理机构存在管理关系的；</w:t>
      </w:r>
    </w:p>
    <w:p w14:paraId="0A792363">
      <w:pPr>
        <w:pStyle w:val="44"/>
        <w:spacing w:line="400" w:lineRule="exact"/>
        <w:ind w:left="96" w:right="96"/>
        <w:rPr>
          <w:rFonts w:hint="eastAsia" w:ascii="宋体" w:hAnsi="宋体" w:cs="宋体"/>
          <w:sz w:val="24"/>
        </w:rPr>
      </w:pPr>
      <w:r>
        <w:rPr>
          <w:rFonts w:hint="eastAsia" w:ascii="宋体" w:hAnsi="宋体" w:cs="宋体"/>
        </w:rPr>
        <w:t>(</w:t>
      </w:r>
      <w:r>
        <w:rPr>
          <w:rFonts w:hint="eastAsia" w:ascii="宋体" w:hAnsi="宋体" w:cs="宋体"/>
          <w:sz w:val="24"/>
        </w:rPr>
        <w:t>11）投标人或其法定代表人、投标项目经理在近三年内有行贿犯罪行为的；</w:t>
      </w:r>
    </w:p>
    <w:p w14:paraId="644F30EE">
      <w:pPr>
        <w:pStyle w:val="44"/>
        <w:spacing w:line="400" w:lineRule="exact"/>
        <w:ind w:left="96" w:right="96" w:firstLine="480"/>
        <w:rPr>
          <w:rFonts w:hint="eastAsia" w:ascii="宋体" w:hAnsi="宋体" w:cs="宋体"/>
          <w:sz w:val="24"/>
        </w:rPr>
      </w:pPr>
      <w:r>
        <w:rPr>
          <w:rFonts w:hint="eastAsia" w:ascii="宋体" w:hAnsi="宋体" w:cs="宋体"/>
          <w:sz w:val="24"/>
        </w:rPr>
        <w:t>（12）投标人被责令停业，暂扣或者吊销执照，或吊销资质证书；</w:t>
      </w:r>
    </w:p>
    <w:p w14:paraId="4D14FB7E">
      <w:pPr>
        <w:pStyle w:val="44"/>
        <w:spacing w:line="400" w:lineRule="exact"/>
        <w:ind w:left="96" w:right="96" w:firstLine="480"/>
        <w:rPr>
          <w:rFonts w:hint="eastAsia" w:ascii="宋体" w:hAnsi="宋体" w:cs="宋体"/>
          <w:sz w:val="24"/>
        </w:rPr>
      </w:pPr>
      <w:r>
        <w:rPr>
          <w:rFonts w:hint="eastAsia" w:ascii="宋体" w:hAnsi="宋体" w:cs="宋体"/>
          <w:sz w:val="24"/>
        </w:rPr>
        <w:t>（13）进入清算程序，或被宣告破产；</w:t>
      </w:r>
    </w:p>
    <w:p w14:paraId="3900F33B">
      <w:pPr>
        <w:pStyle w:val="44"/>
        <w:spacing w:line="400" w:lineRule="exact"/>
        <w:ind w:left="96" w:right="96" w:firstLine="480"/>
        <w:rPr>
          <w:rFonts w:hint="eastAsia" w:ascii="宋体" w:hAnsi="宋体" w:cs="宋体"/>
          <w:sz w:val="24"/>
        </w:rPr>
      </w:pPr>
      <w:r>
        <w:rPr>
          <w:rFonts w:hint="eastAsia" w:ascii="宋体" w:hAnsi="宋体" w:cs="宋体"/>
          <w:sz w:val="24"/>
        </w:rPr>
        <w:t>（14）投标人被县级及以上建设行政主管部门/房屋建筑和市政基础设施工程招标投标活动的监督部门暂停或取消本次招标项目工程所在地或公共资源交易平台所在地的投标资格或限制投标资格，且处于有效期内的；</w:t>
      </w:r>
    </w:p>
    <w:p w14:paraId="747FEBD5">
      <w:pPr>
        <w:pStyle w:val="44"/>
        <w:spacing w:line="400" w:lineRule="exact"/>
        <w:ind w:left="96" w:right="96" w:firstLine="480"/>
        <w:rPr>
          <w:rFonts w:hint="eastAsia" w:ascii="宋体" w:hAnsi="宋体" w:cs="宋体"/>
          <w:sz w:val="24"/>
        </w:rPr>
      </w:pPr>
      <w:r>
        <w:rPr>
          <w:rFonts w:hint="eastAsia" w:ascii="宋体" w:hAnsi="宋体" w:cs="宋体"/>
          <w:sz w:val="24"/>
        </w:rPr>
        <w:t>（15）投标项目经理在其他在建工程（含已中标的待建工程）中担任项目经理、技术负责人、安全员、施工员、质量员的；</w:t>
      </w:r>
    </w:p>
    <w:p w14:paraId="6A873C91">
      <w:pPr>
        <w:pStyle w:val="44"/>
        <w:spacing w:line="400" w:lineRule="exact"/>
        <w:ind w:left="96" w:right="96" w:firstLine="480"/>
        <w:rPr>
          <w:rFonts w:hint="eastAsia" w:ascii="宋体" w:hAnsi="宋体" w:cs="宋体"/>
          <w:sz w:val="24"/>
        </w:rPr>
      </w:pPr>
      <w:r>
        <w:rPr>
          <w:rFonts w:hint="eastAsia" w:ascii="宋体" w:hAnsi="宋体" w:cs="宋体"/>
          <w:sz w:val="24"/>
        </w:rPr>
        <w:t>（16）投标人之间协商投标报价等投标文件的实质性内容的；</w:t>
      </w:r>
    </w:p>
    <w:p w14:paraId="612B7FFC">
      <w:pPr>
        <w:pStyle w:val="44"/>
        <w:spacing w:line="400" w:lineRule="exact"/>
        <w:ind w:left="96" w:right="96" w:firstLine="480"/>
        <w:rPr>
          <w:rFonts w:hint="eastAsia" w:ascii="宋体" w:hAnsi="宋体" w:cs="宋体"/>
          <w:sz w:val="24"/>
        </w:rPr>
      </w:pPr>
      <w:r>
        <w:rPr>
          <w:rFonts w:hint="eastAsia" w:ascii="宋体" w:hAnsi="宋体" w:cs="宋体"/>
          <w:sz w:val="24"/>
        </w:rPr>
        <w:t>（17）投标人之间约定中标人的；</w:t>
      </w:r>
    </w:p>
    <w:p w14:paraId="5CD9C34F">
      <w:pPr>
        <w:pStyle w:val="44"/>
        <w:spacing w:line="400" w:lineRule="exact"/>
        <w:ind w:left="96" w:right="96" w:firstLine="480"/>
        <w:rPr>
          <w:rFonts w:hint="eastAsia" w:ascii="宋体" w:hAnsi="宋体" w:cs="宋体"/>
          <w:sz w:val="24"/>
        </w:rPr>
      </w:pPr>
      <w:r>
        <w:rPr>
          <w:rFonts w:hint="eastAsia" w:ascii="宋体" w:hAnsi="宋体" w:cs="宋体"/>
          <w:sz w:val="24"/>
        </w:rPr>
        <w:t>（18）投标人之间约定部分投标人放弃投标或者中标的；</w:t>
      </w:r>
    </w:p>
    <w:p w14:paraId="29268298">
      <w:pPr>
        <w:pStyle w:val="44"/>
        <w:spacing w:line="400" w:lineRule="exact"/>
        <w:ind w:left="96" w:right="96" w:firstLine="480"/>
        <w:rPr>
          <w:rFonts w:hint="eastAsia" w:ascii="宋体" w:hAnsi="宋体" w:cs="宋体"/>
          <w:sz w:val="24"/>
        </w:rPr>
      </w:pPr>
      <w:r>
        <w:rPr>
          <w:rFonts w:hint="eastAsia" w:ascii="宋体" w:hAnsi="宋体" w:cs="宋体"/>
          <w:sz w:val="24"/>
        </w:rPr>
        <w:t>（19）属于同一集团、协会、商会等组织成员的投标人按照该组织要求协同投标的；</w:t>
      </w:r>
    </w:p>
    <w:p w14:paraId="456CD357">
      <w:pPr>
        <w:pStyle w:val="44"/>
        <w:spacing w:line="400" w:lineRule="exact"/>
        <w:ind w:left="96" w:right="96" w:firstLine="480"/>
        <w:rPr>
          <w:rFonts w:hint="eastAsia" w:ascii="宋体" w:hAnsi="宋体" w:cs="宋体"/>
          <w:sz w:val="24"/>
        </w:rPr>
      </w:pPr>
      <w:r>
        <w:rPr>
          <w:rFonts w:hint="eastAsia" w:ascii="宋体" w:hAnsi="宋体" w:cs="宋体"/>
          <w:sz w:val="24"/>
        </w:rPr>
        <w:t>（20）投标人之间为谋取中标或者排斥特定投标人而采取的其他联合行动的；</w:t>
      </w:r>
    </w:p>
    <w:p w14:paraId="7AF48D70">
      <w:pPr>
        <w:pStyle w:val="44"/>
        <w:spacing w:line="400" w:lineRule="exact"/>
        <w:ind w:left="96" w:right="96" w:firstLine="480"/>
        <w:rPr>
          <w:rFonts w:hint="eastAsia" w:ascii="宋体" w:hAnsi="宋体" w:cs="宋体"/>
          <w:sz w:val="24"/>
        </w:rPr>
      </w:pPr>
      <w:r>
        <w:rPr>
          <w:rFonts w:hint="eastAsia" w:ascii="宋体" w:hAnsi="宋体" w:cs="宋体"/>
          <w:sz w:val="24"/>
        </w:rPr>
        <w:t>（21）不同投标人的投标文件由同一单位或者个人编制的；</w:t>
      </w:r>
    </w:p>
    <w:p w14:paraId="12E303EA">
      <w:pPr>
        <w:pStyle w:val="44"/>
        <w:spacing w:line="400" w:lineRule="exact"/>
        <w:ind w:left="96" w:right="96" w:firstLine="480"/>
        <w:rPr>
          <w:rFonts w:hint="eastAsia" w:ascii="宋体" w:hAnsi="宋体" w:cs="宋体"/>
          <w:sz w:val="24"/>
        </w:rPr>
      </w:pPr>
      <w:r>
        <w:rPr>
          <w:rFonts w:hint="eastAsia" w:ascii="宋体" w:hAnsi="宋体" w:cs="宋体"/>
          <w:sz w:val="24"/>
        </w:rPr>
        <w:t>(22)不同投标人委托同一单位或者个人办理投标事宜的；</w:t>
      </w:r>
    </w:p>
    <w:p w14:paraId="2A19F629">
      <w:pPr>
        <w:pStyle w:val="44"/>
        <w:spacing w:line="400" w:lineRule="exact"/>
        <w:ind w:left="96" w:right="96" w:firstLine="480"/>
        <w:rPr>
          <w:rFonts w:hint="eastAsia" w:ascii="宋体" w:hAnsi="宋体" w:cs="宋体"/>
          <w:sz w:val="24"/>
        </w:rPr>
      </w:pPr>
      <w:r>
        <w:rPr>
          <w:rFonts w:hint="eastAsia" w:ascii="宋体" w:hAnsi="宋体" w:cs="宋体"/>
          <w:sz w:val="24"/>
        </w:rPr>
        <w:t>(23)不同投标人的投标文件载明的项目管理成员为同一人的；</w:t>
      </w:r>
    </w:p>
    <w:p w14:paraId="410547AE">
      <w:pPr>
        <w:pStyle w:val="44"/>
        <w:spacing w:line="400" w:lineRule="exact"/>
        <w:ind w:left="96" w:right="96" w:firstLine="480"/>
        <w:rPr>
          <w:rFonts w:hint="eastAsia" w:ascii="宋体" w:hAnsi="宋体" w:cs="宋体"/>
          <w:sz w:val="24"/>
          <w:szCs w:val="20"/>
        </w:rPr>
      </w:pPr>
      <w:r>
        <w:rPr>
          <w:rFonts w:hint="eastAsia" w:ascii="宋体" w:hAnsi="宋体" w:cs="宋体"/>
          <w:sz w:val="24"/>
          <w:szCs w:val="20"/>
        </w:rPr>
        <w:t>(24)不同投标人的投标文件异常一致或者投标报价呈规律性差异的；</w:t>
      </w:r>
    </w:p>
    <w:p w14:paraId="029BAE50">
      <w:pPr>
        <w:pStyle w:val="44"/>
        <w:spacing w:line="400" w:lineRule="exact"/>
        <w:ind w:left="96" w:right="96" w:firstLine="480"/>
        <w:rPr>
          <w:rFonts w:hint="eastAsia" w:ascii="宋体" w:hAnsi="宋体" w:cs="宋体"/>
          <w:sz w:val="24"/>
        </w:rPr>
      </w:pPr>
      <w:r>
        <w:rPr>
          <w:rFonts w:hint="eastAsia" w:ascii="宋体" w:hAnsi="宋体" w:cs="宋体"/>
          <w:sz w:val="24"/>
        </w:rPr>
        <w:t>(25)不同投标人的投标文件相互混装的；</w:t>
      </w:r>
    </w:p>
    <w:p w14:paraId="297AED35">
      <w:pPr>
        <w:pStyle w:val="44"/>
        <w:spacing w:line="400" w:lineRule="exact"/>
        <w:ind w:left="96" w:right="96" w:firstLine="480"/>
        <w:rPr>
          <w:rFonts w:hint="eastAsia" w:ascii="宋体" w:hAnsi="宋体" w:cs="宋体"/>
          <w:sz w:val="24"/>
        </w:rPr>
      </w:pPr>
      <w:r>
        <w:rPr>
          <w:rFonts w:hint="eastAsia" w:ascii="宋体" w:hAnsi="宋体" w:cs="宋体"/>
          <w:sz w:val="24"/>
        </w:rPr>
        <w:t>（26）不同投标人的投标保证金从同一单位或者个人的账户转出的；</w:t>
      </w:r>
    </w:p>
    <w:p w14:paraId="6BEAE24B">
      <w:pPr>
        <w:pStyle w:val="44"/>
        <w:spacing w:line="400" w:lineRule="exact"/>
        <w:ind w:left="96" w:right="96" w:firstLine="480"/>
        <w:rPr>
          <w:rFonts w:hint="eastAsia" w:ascii="宋体" w:hAnsi="宋体" w:cs="宋体"/>
          <w:sz w:val="24"/>
        </w:rPr>
      </w:pPr>
      <w:r>
        <w:rPr>
          <w:rFonts w:hint="eastAsia" w:ascii="宋体" w:hAnsi="宋体" w:cs="宋体"/>
          <w:sz w:val="24"/>
        </w:rPr>
        <w:t>（27）投标人在本次投标中有弄虚作假行为，包括使用伪造、变造的资质证书、许可证件，提供虚假的财务状况或者业绩，提供虚假的项目班子成员简历、</w:t>
      </w:r>
      <w:r>
        <w:rPr>
          <w:rFonts w:hint="eastAsia" w:ascii="宋体" w:hAnsi="宋体" w:cs="宋体"/>
          <w:b/>
          <w:sz w:val="24"/>
        </w:rPr>
        <w:t>社保缴费证明</w:t>
      </w:r>
      <w:r>
        <w:rPr>
          <w:rFonts w:hint="eastAsia" w:ascii="宋体" w:hAnsi="宋体" w:cs="宋体"/>
          <w:sz w:val="24"/>
        </w:rPr>
        <w:t>，提供虚假的信用状况，提供虚假的获奖资料等；</w:t>
      </w:r>
    </w:p>
    <w:p w14:paraId="2CF85880">
      <w:pPr>
        <w:pStyle w:val="43"/>
        <w:spacing w:before="0" w:after="0" w:line="400" w:lineRule="exact"/>
        <w:ind w:left="0" w:right="0"/>
        <w:rPr>
          <w:rFonts w:hint="eastAsia" w:hAnsi="宋体" w:cs="宋体"/>
        </w:rPr>
      </w:pPr>
      <w:r>
        <w:rPr>
          <w:rFonts w:hint="eastAsia" w:hAnsi="宋体" w:cs="宋体"/>
          <w:b/>
          <w:bCs/>
        </w:rPr>
        <w:t>（十一）合同的授予</w:t>
      </w:r>
      <w:bookmarkEnd w:id="30"/>
      <w:bookmarkEnd w:id="34"/>
      <w:bookmarkEnd w:id="35"/>
    </w:p>
    <w:p w14:paraId="4E67E6B7">
      <w:pPr>
        <w:pStyle w:val="44"/>
        <w:spacing w:line="400" w:lineRule="exact"/>
        <w:ind w:left="96" w:right="96" w:firstLine="480"/>
        <w:rPr>
          <w:rFonts w:hint="eastAsia" w:ascii="宋体" w:hAnsi="宋体" w:cs="宋体"/>
          <w:sz w:val="24"/>
        </w:rPr>
      </w:pPr>
      <w:r>
        <w:rPr>
          <w:rFonts w:hint="eastAsia" w:ascii="宋体" w:hAnsi="宋体" w:cs="宋体"/>
          <w:sz w:val="24"/>
        </w:rPr>
        <w:t>36、合同授予标准</w:t>
      </w:r>
    </w:p>
    <w:p w14:paraId="030AC783">
      <w:pPr>
        <w:pStyle w:val="44"/>
        <w:spacing w:line="400" w:lineRule="exact"/>
        <w:ind w:left="96" w:right="96" w:firstLine="480"/>
        <w:rPr>
          <w:rFonts w:hint="eastAsia" w:ascii="宋体" w:hAnsi="宋体" w:cs="宋体"/>
          <w:sz w:val="24"/>
        </w:rPr>
      </w:pPr>
      <w:r>
        <w:rPr>
          <w:rFonts w:hint="eastAsia" w:ascii="宋体" w:hAnsi="宋体" w:cs="宋体"/>
          <w:sz w:val="24"/>
        </w:rPr>
        <w:t>36.1合同授予</w:t>
      </w:r>
    </w:p>
    <w:p w14:paraId="4F949593">
      <w:pPr>
        <w:pStyle w:val="44"/>
        <w:spacing w:line="400" w:lineRule="exact"/>
        <w:ind w:left="96" w:right="96" w:firstLine="480"/>
        <w:rPr>
          <w:rFonts w:hint="eastAsia" w:ascii="宋体" w:hAnsi="宋体" w:cs="宋体"/>
          <w:sz w:val="24"/>
        </w:rPr>
      </w:pPr>
      <w:r>
        <w:rPr>
          <w:rFonts w:hint="eastAsia" w:ascii="宋体" w:hAnsi="宋体" w:cs="宋体"/>
          <w:sz w:val="24"/>
        </w:rPr>
        <w:t>本招标工程的施工合同将授予按评标委员会的评标报告所确定的中标人。</w:t>
      </w:r>
    </w:p>
    <w:p w14:paraId="123B0FF5">
      <w:pPr>
        <w:pStyle w:val="44"/>
        <w:spacing w:line="400" w:lineRule="exact"/>
        <w:ind w:left="96" w:right="96" w:firstLine="480"/>
        <w:rPr>
          <w:rFonts w:hint="eastAsia" w:ascii="宋体" w:hAnsi="宋体" w:cs="宋体"/>
          <w:sz w:val="24"/>
        </w:rPr>
      </w:pPr>
      <w:r>
        <w:rPr>
          <w:rFonts w:hint="eastAsia" w:ascii="宋体" w:hAnsi="宋体" w:cs="宋体"/>
          <w:sz w:val="24"/>
        </w:rPr>
        <w:t>36.2招标人拒绝投标的权力</w:t>
      </w:r>
    </w:p>
    <w:p w14:paraId="7EDFF587">
      <w:pPr>
        <w:pStyle w:val="44"/>
        <w:spacing w:line="400" w:lineRule="exact"/>
        <w:ind w:left="96" w:right="96" w:firstLine="480"/>
        <w:rPr>
          <w:rFonts w:hint="eastAsia" w:ascii="宋体" w:hAnsi="宋体" w:cs="宋体"/>
          <w:sz w:val="24"/>
        </w:rPr>
      </w:pPr>
      <w:r>
        <w:rPr>
          <w:rFonts w:hint="eastAsia" w:ascii="宋体" w:hAnsi="宋体" w:cs="宋体"/>
          <w:sz w:val="24"/>
        </w:rPr>
        <w:t>招标人不承诺将合同授予报价最低的投标人。招标人在发出中标通知书前，有权依据评标委员会的评标报告和法规规定拒绝不合格的投标。</w:t>
      </w:r>
    </w:p>
    <w:p w14:paraId="70DB3FD7">
      <w:pPr>
        <w:pStyle w:val="44"/>
        <w:spacing w:line="400" w:lineRule="exact"/>
        <w:ind w:left="96" w:right="96" w:firstLine="480"/>
        <w:rPr>
          <w:rFonts w:hint="eastAsia" w:ascii="宋体" w:hAnsi="宋体" w:cs="宋体"/>
          <w:sz w:val="24"/>
        </w:rPr>
      </w:pPr>
      <w:r>
        <w:rPr>
          <w:rFonts w:hint="eastAsia" w:ascii="宋体" w:hAnsi="宋体" w:cs="宋体"/>
          <w:sz w:val="24"/>
        </w:rPr>
        <w:t>37、中标通知书</w:t>
      </w:r>
    </w:p>
    <w:p w14:paraId="262D086E">
      <w:pPr>
        <w:pStyle w:val="44"/>
        <w:spacing w:line="400" w:lineRule="exact"/>
        <w:ind w:left="96" w:right="96" w:firstLine="480"/>
        <w:rPr>
          <w:rFonts w:hint="eastAsia" w:hAnsi="宋体" w:cs="宋体"/>
          <w:szCs w:val="24"/>
        </w:rPr>
      </w:pPr>
      <w:r>
        <w:rPr>
          <w:rFonts w:hint="eastAsia" w:ascii="宋体" w:hAnsi="宋体" w:cs="宋体"/>
          <w:sz w:val="24"/>
        </w:rPr>
        <w:t>37.1中标人确定后，招标人将在六安市公共资源交易平台电子服务系统站上公示，公示期为三个工作日，未发现中标人在招标投标活动中有违法行为或有前述</w:t>
      </w:r>
      <w:r>
        <w:rPr>
          <w:rFonts w:hint="eastAsia" w:hAnsi="宋体" w:cs="宋体"/>
          <w:szCs w:val="24"/>
        </w:rPr>
        <w:t>35条所列情形之一的,招标人将向中标人按程序办理和发放中标通知书。</w:t>
      </w:r>
    </w:p>
    <w:p w14:paraId="28A9180A">
      <w:pPr>
        <w:pStyle w:val="11"/>
        <w:spacing w:line="400" w:lineRule="exact"/>
        <w:ind w:firstLine="480" w:firstLineChars="200"/>
        <w:rPr>
          <w:rFonts w:hint="eastAsia" w:hAnsi="宋体" w:cs="宋体"/>
          <w:szCs w:val="24"/>
        </w:rPr>
      </w:pPr>
      <w:r>
        <w:rPr>
          <w:rFonts w:hint="eastAsia" w:hAnsi="宋体" w:cs="宋体"/>
          <w:szCs w:val="24"/>
        </w:rPr>
        <w:t>37.2招标人将在发出中标通知书的同时,将中标结果通知所有未中标的投标人。</w:t>
      </w:r>
    </w:p>
    <w:p w14:paraId="7A0BF452">
      <w:pPr>
        <w:spacing w:line="400" w:lineRule="exact"/>
        <w:ind w:right="77"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38、</w:t>
      </w:r>
      <w:r>
        <w:rPr>
          <w:rFonts w:ascii="宋体" w:hAnsi="宋体" w:eastAsia="宋体" w:cs="宋体"/>
          <w:spacing w:val="-1"/>
          <w:sz w:val="24"/>
          <w:szCs w:val="24"/>
          <w:highlight w:val="none"/>
          <w:lang w:eastAsia="zh-CN"/>
        </w:rPr>
        <w:t>招标代理服务费由中标人支付</w:t>
      </w:r>
      <w:r>
        <w:rPr>
          <w:rFonts w:ascii="宋体" w:hAnsi="宋体" w:eastAsia="宋体" w:cs="宋体"/>
          <w:spacing w:val="-1"/>
          <w:sz w:val="24"/>
          <w:szCs w:val="24"/>
          <w:lang w:eastAsia="zh-CN"/>
        </w:rPr>
        <w:t>，按以下列收费标准</w:t>
      </w:r>
      <w:r>
        <w:rPr>
          <w:rFonts w:hint="eastAsia" w:ascii="宋体" w:hAnsi="宋体" w:eastAsia="宋体" w:cs="宋体"/>
          <w:spacing w:val="-1"/>
          <w:sz w:val="24"/>
          <w:szCs w:val="24"/>
          <w:lang w:eastAsia="zh-CN"/>
        </w:rPr>
        <w:t>100</w:t>
      </w:r>
      <w:r>
        <w:rPr>
          <w:rFonts w:ascii="宋体" w:hAnsi="宋体" w:eastAsia="宋体" w:cs="宋体"/>
          <w:spacing w:val="-1"/>
          <w:sz w:val="24"/>
          <w:szCs w:val="24"/>
          <w:lang w:eastAsia="zh-CN"/>
        </w:rPr>
        <w:t>%</w:t>
      </w:r>
      <w:r>
        <w:rPr>
          <w:rFonts w:ascii="宋体" w:hAnsi="宋体" w:eastAsia="宋体" w:cs="宋体"/>
          <w:spacing w:val="-15"/>
          <w:sz w:val="24"/>
          <w:szCs w:val="24"/>
          <w:lang w:eastAsia="zh-CN"/>
        </w:rPr>
        <w:t>计取</w:t>
      </w:r>
      <w:r>
        <w:rPr>
          <w:rFonts w:hint="eastAsia" w:ascii="宋体" w:hAnsi="宋体" w:eastAsia="宋体" w:cs="宋体"/>
          <w:spacing w:val="-15"/>
          <w:sz w:val="24"/>
          <w:szCs w:val="24"/>
          <w:lang w:eastAsia="zh-CN"/>
        </w:rPr>
        <w:t>：</w:t>
      </w:r>
    </w:p>
    <w:p w14:paraId="37A8F2F0">
      <w:pPr>
        <w:rPr>
          <w:rFonts w:hint="eastAsia" w:ascii="宋体" w:hAnsi="宋体" w:eastAsia="宋体" w:cs="宋体"/>
          <w:spacing w:val="-2"/>
          <w:sz w:val="24"/>
          <w:szCs w:val="24"/>
          <w:lang w:eastAsia="zh-CN"/>
        </w:rPr>
      </w:pPr>
    </w:p>
    <w:p w14:paraId="677CB27C">
      <w:pPr>
        <w:spacing w:line="400" w:lineRule="exact"/>
        <w:ind w:left="3634"/>
        <w:rPr>
          <w:rFonts w:hint="eastAsia" w:ascii="宋体" w:hAnsi="宋体" w:eastAsia="宋体" w:cs="宋体"/>
          <w:sz w:val="24"/>
          <w:szCs w:val="24"/>
        </w:rPr>
      </w:pPr>
      <w:r>
        <w:rPr>
          <w:rFonts w:ascii="宋体" w:hAnsi="宋体" w:eastAsia="宋体" w:cs="宋体"/>
          <w:spacing w:val="-2"/>
          <w:sz w:val="24"/>
          <w:szCs w:val="24"/>
        </w:rPr>
        <w:t>招标代理收费标准</w:t>
      </w:r>
    </w:p>
    <w:tbl>
      <w:tblPr>
        <w:tblStyle w:val="34"/>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06"/>
        <w:gridCol w:w="1709"/>
        <w:gridCol w:w="1638"/>
        <w:gridCol w:w="1697"/>
      </w:tblGrid>
      <w:tr w14:paraId="6D66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015" w:type="pct"/>
          </w:tcPr>
          <w:p w14:paraId="35D81BF5">
            <w:pPr>
              <w:widowControl w:val="0"/>
              <w:spacing w:line="400" w:lineRule="exact"/>
              <w:ind w:left="444"/>
              <w:rPr>
                <w:rFonts w:hint="eastAsia" w:ascii="仿宋" w:hAnsi="仿宋" w:eastAsia="仿宋" w:cs="仿宋"/>
                <w:sz w:val="24"/>
                <w:szCs w:val="24"/>
                <w:lang w:eastAsia="zh-CN"/>
              </w:rPr>
            </w:pPr>
            <w:r>
              <w:rPr>
                <w:rFonts w:ascii="仿宋" w:hAnsi="仿宋" w:eastAsia="仿宋" w:cs="仿宋"/>
                <w:b/>
                <w:bCs/>
                <w:spacing w:val="-12"/>
                <w:sz w:val="24"/>
                <w:szCs w:val="24"/>
                <w:lang w:eastAsia="zh-CN"/>
              </w:rPr>
              <w:t>中标（成交）金额（万元）</w:t>
            </w:r>
          </w:p>
        </w:tc>
        <w:tc>
          <w:tcPr>
            <w:tcW w:w="1011" w:type="pct"/>
          </w:tcPr>
          <w:p w14:paraId="3EB568D6">
            <w:pPr>
              <w:widowControl w:val="0"/>
              <w:spacing w:line="400" w:lineRule="exact"/>
              <w:ind w:left="342"/>
              <w:rPr>
                <w:rFonts w:hint="eastAsia" w:ascii="仿宋" w:hAnsi="仿宋" w:eastAsia="仿宋" w:cs="仿宋"/>
                <w:sz w:val="24"/>
                <w:szCs w:val="24"/>
              </w:rPr>
            </w:pPr>
            <w:r>
              <w:rPr>
                <w:rFonts w:ascii="仿宋" w:hAnsi="仿宋" w:eastAsia="仿宋" w:cs="仿宋"/>
                <w:b/>
                <w:bCs/>
                <w:spacing w:val="-6"/>
                <w:sz w:val="24"/>
                <w:szCs w:val="24"/>
              </w:rPr>
              <w:t>货物类项目</w:t>
            </w:r>
          </w:p>
        </w:tc>
        <w:tc>
          <w:tcPr>
            <w:tcW w:w="969" w:type="pct"/>
          </w:tcPr>
          <w:p w14:paraId="5083A39F">
            <w:pPr>
              <w:widowControl w:val="0"/>
              <w:spacing w:line="400" w:lineRule="exact"/>
              <w:ind w:left="297"/>
              <w:rPr>
                <w:rFonts w:hint="eastAsia" w:ascii="仿宋" w:hAnsi="仿宋" w:eastAsia="仿宋" w:cs="仿宋"/>
                <w:sz w:val="24"/>
                <w:szCs w:val="24"/>
              </w:rPr>
            </w:pPr>
            <w:r>
              <w:rPr>
                <w:rFonts w:ascii="仿宋" w:hAnsi="仿宋" w:eastAsia="仿宋" w:cs="仿宋"/>
                <w:b/>
                <w:bCs/>
                <w:spacing w:val="-5"/>
                <w:sz w:val="24"/>
                <w:szCs w:val="24"/>
              </w:rPr>
              <w:t>服务类项目</w:t>
            </w:r>
          </w:p>
        </w:tc>
        <w:tc>
          <w:tcPr>
            <w:tcW w:w="1004" w:type="pct"/>
          </w:tcPr>
          <w:p w14:paraId="6528E858">
            <w:pPr>
              <w:widowControl w:val="0"/>
              <w:spacing w:line="400" w:lineRule="exact"/>
              <w:ind w:left="335"/>
              <w:rPr>
                <w:rFonts w:hint="eastAsia" w:ascii="仿宋" w:hAnsi="仿宋" w:eastAsia="仿宋" w:cs="仿宋"/>
                <w:sz w:val="24"/>
                <w:szCs w:val="24"/>
              </w:rPr>
            </w:pPr>
            <w:r>
              <w:rPr>
                <w:rFonts w:ascii="仿宋" w:hAnsi="仿宋" w:eastAsia="仿宋" w:cs="仿宋"/>
                <w:b/>
                <w:bCs/>
                <w:spacing w:val="-6"/>
                <w:sz w:val="24"/>
                <w:szCs w:val="24"/>
              </w:rPr>
              <w:t>工程类项目</w:t>
            </w:r>
          </w:p>
        </w:tc>
      </w:tr>
      <w:tr w14:paraId="4FEA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15" w:type="pct"/>
          </w:tcPr>
          <w:p w14:paraId="0E5C6A53">
            <w:pPr>
              <w:widowControl w:val="0"/>
              <w:spacing w:line="400" w:lineRule="exact"/>
              <w:ind w:left="1420"/>
              <w:rPr>
                <w:rFonts w:hint="eastAsia" w:ascii="仿宋" w:hAnsi="仿宋" w:eastAsia="仿宋" w:cs="仿宋"/>
                <w:sz w:val="24"/>
                <w:szCs w:val="24"/>
              </w:rPr>
            </w:pPr>
            <w:r>
              <w:rPr>
                <w:rFonts w:ascii="仿宋" w:hAnsi="仿宋" w:eastAsia="仿宋" w:cs="仿宋"/>
                <w:spacing w:val="-10"/>
                <w:sz w:val="24"/>
                <w:szCs w:val="24"/>
              </w:rPr>
              <w:t>100以下</w:t>
            </w:r>
          </w:p>
        </w:tc>
        <w:tc>
          <w:tcPr>
            <w:tcW w:w="1011" w:type="pct"/>
          </w:tcPr>
          <w:p w14:paraId="0A67ACD3">
            <w:pPr>
              <w:widowControl w:val="0"/>
              <w:spacing w:line="400" w:lineRule="exact"/>
              <w:ind w:left="710"/>
              <w:rPr>
                <w:rFonts w:hint="eastAsia" w:ascii="仿宋" w:hAnsi="仿宋" w:eastAsia="仿宋" w:cs="仿宋"/>
                <w:sz w:val="24"/>
                <w:szCs w:val="24"/>
              </w:rPr>
            </w:pPr>
            <w:r>
              <w:rPr>
                <w:rFonts w:ascii="仿宋" w:hAnsi="仿宋" w:eastAsia="仿宋" w:cs="仿宋"/>
                <w:spacing w:val="-5"/>
                <w:sz w:val="24"/>
                <w:szCs w:val="24"/>
              </w:rPr>
              <w:t>1.5%</w:t>
            </w:r>
          </w:p>
        </w:tc>
        <w:tc>
          <w:tcPr>
            <w:tcW w:w="969" w:type="pct"/>
          </w:tcPr>
          <w:p w14:paraId="465DD6BF">
            <w:pPr>
              <w:widowControl w:val="0"/>
              <w:spacing w:line="400" w:lineRule="exact"/>
              <w:ind w:left="670"/>
              <w:rPr>
                <w:rFonts w:hint="eastAsia" w:ascii="仿宋" w:hAnsi="仿宋" w:eastAsia="仿宋" w:cs="仿宋"/>
                <w:sz w:val="24"/>
                <w:szCs w:val="24"/>
              </w:rPr>
            </w:pPr>
            <w:r>
              <w:rPr>
                <w:rFonts w:ascii="仿宋" w:hAnsi="仿宋" w:eastAsia="仿宋" w:cs="仿宋"/>
                <w:spacing w:val="-5"/>
                <w:sz w:val="24"/>
                <w:szCs w:val="24"/>
              </w:rPr>
              <w:t>1.5%</w:t>
            </w:r>
          </w:p>
        </w:tc>
        <w:tc>
          <w:tcPr>
            <w:tcW w:w="1004" w:type="pct"/>
          </w:tcPr>
          <w:p w14:paraId="19042ACA">
            <w:pPr>
              <w:widowControl w:val="0"/>
              <w:spacing w:line="400" w:lineRule="exact"/>
              <w:ind w:left="702"/>
              <w:rPr>
                <w:rFonts w:hint="eastAsia" w:ascii="仿宋" w:hAnsi="仿宋" w:eastAsia="仿宋" w:cs="仿宋"/>
                <w:sz w:val="24"/>
                <w:szCs w:val="24"/>
              </w:rPr>
            </w:pPr>
            <w:r>
              <w:rPr>
                <w:rFonts w:ascii="仿宋" w:hAnsi="仿宋" w:eastAsia="仿宋" w:cs="仿宋"/>
                <w:spacing w:val="-6"/>
                <w:sz w:val="24"/>
                <w:szCs w:val="24"/>
              </w:rPr>
              <w:t>1.0%</w:t>
            </w:r>
          </w:p>
        </w:tc>
      </w:tr>
      <w:tr w14:paraId="0055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15" w:type="pct"/>
          </w:tcPr>
          <w:p w14:paraId="6B87118F">
            <w:pPr>
              <w:widowControl w:val="0"/>
              <w:spacing w:line="400" w:lineRule="exact"/>
              <w:ind w:left="1449"/>
              <w:rPr>
                <w:rFonts w:hint="eastAsia" w:ascii="仿宋" w:hAnsi="仿宋" w:eastAsia="仿宋" w:cs="仿宋"/>
                <w:sz w:val="24"/>
                <w:szCs w:val="24"/>
              </w:rPr>
            </w:pPr>
            <w:r>
              <w:rPr>
                <w:rFonts w:ascii="仿宋" w:hAnsi="仿宋" w:eastAsia="仿宋" w:cs="仿宋"/>
                <w:spacing w:val="-4"/>
                <w:sz w:val="24"/>
                <w:szCs w:val="24"/>
              </w:rPr>
              <w:t>100-500</w:t>
            </w:r>
          </w:p>
        </w:tc>
        <w:tc>
          <w:tcPr>
            <w:tcW w:w="1011" w:type="pct"/>
          </w:tcPr>
          <w:p w14:paraId="37B99E13">
            <w:pPr>
              <w:widowControl w:val="0"/>
              <w:spacing w:line="400" w:lineRule="exact"/>
              <w:ind w:left="710"/>
              <w:rPr>
                <w:rFonts w:hint="eastAsia" w:ascii="仿宋" w:hAnsi="仿宋" w:eastAsia="仿宋" w:cs="仿宋"/>
                <w:sz w:val="24"/>
                <w:szCs w:val="24"/>
              </w:rPr>
            </w:pPr>
            <w:r>
              <w:rPr>
                <w:rFonts w:ascii="仿宋" w:hAnsi="仿宋" w:eastAsia="仿宋" w:cs="仿宋"/>
                <w:spacing w:val="-4"/>
                <w:sz w:val="24"/>
                <w:szCs w:val="24"/>
              </w:rPr>
              <w:t>1.1%</w:t>
            </w:r>
          </w:p>
        </w:tc>
        <w:tc>
          <w:tcPr>
            <w:tcW w:w="969" w:type="pct"/>
          </w:tcPr>
          <w:p w14:paraId="66F213F2">
            <w:pPr>
              <w:widowControl w:val="0"/>
              <w:spacing w:line="400" w:lineRule="exact"/>
              <w:ind w:left="655"/>
              <w:rPr>
                <w:rFonts w:hint="eastAsia" w:ascii="仿宋" w:hAnsi="仿宋" w:eastAsia="仿宋" w:cs="仿宋"/>
                <w:sz w:val="24"/>
                <w:szCs w:val="24"/>
              </w:rPr>
            </w:pPr>
            <w:r>
              <w:rPr>
                <w:rFonts w:ascii="仿宋" w:hAnsi="仿宋" w:eastAsia="仿宋" w:cs="仿宋"/>
                <w:spacing w:val="-2"/>
                <w:sz w:val="24"/>
                <w:szCs w:val="24"/>
              </w:rPr>
              <w:t>0.8%</w:t>
            </w:r>
          </w:p>
        </w:tc>
        <w:tc>
          <w:tcPr>
            <w:tcW w:w="1004" w:type="pct"/>
          </w:tcPr>
          <w:p w14:paraId="6FF40AF8">
            <w:pPr>
              <w:widowControl w:val="0"/>
              <w:spacing w:line="400" w:lineRule="exact"/>
              <w:ind w:left="686"/>
              <w:rPr>
                <w:rFonts w:hint="eastAsia" w:ascii="仿宋" w:hAnsi="仿宋" w:eastAsia="仿宋" w:cs="仿宋"/>
                <w:sz w:val="24"/>
                <w:szCs w:val="24"/>
              </w:rPr>
            </w:pPr>
            <w:r>
              <w:rPr>
                <w:rFonts w:ascii="仿宋" w:hAnsi="仿宋" w:eastAsia="仿宋" w:cs="仿宋"/>
                <w:spacing w:val="-1"/>
                <w:sz w:val="24"/>
                <w:szCs w:val="24"/>
              </w:rPr>
              <w:t>0.7%</w:t>
            </w:r>
          </w:p>
        </w:tc>
      </w:tr>
      <w:tr w14:paraId="45F3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015" w:type="pct"/>
          </w:tcPr>
          <w:p w14:paraId="75C21A68">
            <w:pPr>
              <w:widowControl w:val="0"/>
              <w:spacing w:line="400" w:lineRule="exact"/>
              <w:ind w:left="1376"/>
              <w:rPr>
                <w:rFonts w:hint="eastAsia" w:ascii="仿宋" w:hAnsi="仿宋" w:eastAsia="仿宋" w:cs="仿宋"/>
                <w:sz w:val="24"/>
                <w:szCs w:val="24"/>
              </w:rPr>
            </w:pPr>
            <w:r>
              <w:rPr>
                <w:rFonts w:ascii="仿宋" w:hAnsi="仿宋" w:eastAsia="仿宋" w:cs="仿宋"/>
                <w:spacing w:val="-2"/>
                <w:sz w:val="24"/>
                <w:szCs w:val="24"/>
              </w:rPr>
              <w:t>500-1000</w:t>
            </w:r>
          </w:p>
        </w:tc>
        <w:tc>
          <w:tcPr>
            <w:tcW w:w="1011" w:type="pct"/>
          </w:tcPr>
          <w:p w14:paraId="327BFC13">
            <w:pPr>
              <w:widowControl w:val="0"/>
              <w:spacing w:line="400" w:lineRule="exact"/>
              <w:ind w:left="694"/>
              <w:rPr>
                <w:rFonts w:hint="eastAsia" w:ascii="仿宋" w:hAnsi="仿宋" w:eastAsia="仿宋" w:cs="仿宋"/>
                <w:sz w:val="24"/>
                <w:szCs w:val="24"/>
              </w:rPr>
            </w:pPr>
            <w:r>
              <w:rPr>
                <w:rFonts w:ascii="仿宋" w:hAnsi="仿宋" w:eastAsia="仿宋" w:cs="仿宋"/>
                <w:spacing w:val="-2"/>
                <w:sz w:val="24"/>
                <w:szCs w:val="24"/>
              </w:rPr>
              <w:t>0.8%</w:t>
            </w:r>
          </w:p>
        </w:tc>
        <w:tc>
          <w:tcPr>
            <w:tcW w:w="969" w:type="pct"/>
          </w:tcPr>
          <w:p w14:paraId="5982232B">
            <w:pPr>
              <w:widowControl w:val="0"/>
              <w:spacing w:line="400" w:lineRule="exact"/>
              <w:ind w:left="595"/>
              <w:rPr>
                <w:rFonts w:hint="eastAsia" w:ascii="仿宋" w:hAnsi="仿宋" w:eastAsia="仿宋" w:cs="仿宋"/>
                <w:sz w:val="24"/>
                <w:szCs w:val="24"/>
              </w:rPr>
            </w:pPr>
            <w:r>
              <w:rPr>
                <w:rFonts w:ascii="仿宋" w:hAnsi="仿宋" w:eastAsia="仿宋" w:cs="仿宋"/>
                <w:spacing w:val="-3"/>
                <w:sz w:val="24"/>
                <w:szCs w:val="24"/>
              </w:rPr>
              <w:t>0.45%</w:t>
            </w:r>
          </w:p>
        </w:tc>
        <w:tc>
          <w:tcPr>
            <w:tcW w:w="1004" w:type="pct"/>
          </w:tcPr>
          <w:p w14:paraId="708C0049">
            <w:pPr>
              <w:widowControl w:val="0"/>
              <w:spacing w:line="400" w:lineRule="exact"/>
              <w:ind w:left="626"/>
              <w:rPr>
                <w:rFonts w:hint="eastAsia" w:ascii="仿宋" w:hAnsi="仿宋" w:eastAsia="仿宋" w:cs="仿宋"/>
                <w:sz w:val="24"/>
                <w:szCs w:val="24"/>
              </w:rPr>
            </w:pPr>
            <w:r>
              <w:rPr>
                <w:rFonts w:ascii="仿宋" w:hAnsi="仿宋" w:eastAsia="仿宋" w:cs="仿宋"/>
                <w:spacing w:val="-2"/>
                <w:sz w:val="24"/>
                <w:szCs w:val="24"/>
              </w:rPr>
              <w:t>0.55%</w:t>
            </w:r>
          </w:p>
        </w:tc>
      </w:tr>
      <w:tr w14:paraId="50143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15" w:type="pct"/>
          </w:tcPr>
          <w:p w14:paraId="37A39AC5">
            <w:pPr>
              <w:widowControl w:val="0"/>
              <w:spacing w:line="400" w:lineRule="exact"/>
              <w:ind w:left="1329"/>
              <w:rPr>
                <w:rFonts w:hint="eastAsia" w:ascii="仿宋" w:hAnsi="仿宋" w:eastAsia="仿宋" w:cs="仿宋"/>
                <w:sz w:val="24"/>
                <w:szCs w:val="24"/>
              </w:rPr>
            </w:pPr>
            <w:r>
              <w:rPr>
                <w:rFonts w:ascii="仿宋" w:hAnsi="仿宋" w:eastAsia="仿宋" w:cs="仿宋"/>
                <w:spacing w:val="-3"/>
                <w:sz w:val="24"/>
                <w:szCs w:val="24"/>
              </w:rPr>
              <w:t>1000-5000</w:t>
            </w:r>
          </w:p>
        </w:tc>
        <w:tc>
          <w:tcPr>
            <w:tcW w:w="1011" w:type="pct"/>
          </w:tcPr>
          <w:p w14:paraId="1A7541E6">
            <w:pPr>
              <w:widowControl w:val="0"/>
              <w:spacing w:line="400" w:lineRule="exact"/>
              <w:ind w:left="694"/>
              <w:rPr>
                <w:rFonts w:hint="eastAsia" w:ascii="仿宋" w:hAnsi="仿宋" w:eastAsia="仿宋" w:cs="仿宋"/>
                <w:sz w:val="24"/>
                <w:szCs w:val="24"/>
              </w:rPr>
            </w:pPr>
            <w:r>
              <w:rPr>
                <w:rFonts w:ascii="仿宋" w:hAnsi="仿宋" w:eastAsia="仿宋" w:cs="仿宋"/>
                <w:spacing w:val="-1"/>
                <w:sz w:val="24"/>
                <w:szCs w:val="24"/>
              </w:rPr>
              <w:t>0.5%</w:t>
            </w:r>
          </w:p>
        </w:tc>
        <w:tc>
          <w:tcPr>
            <w:tcW w:w="969" w:type="pct"/>
          </w:tcPr>
          <w:p w14:paraId="1F6DCF3A">
            <w:pPr>
              <w:widowControl w:val="0"/>
              <w:spacing w:line="400" w:lineRule="exact"/>
              <w:ind w:left="595"/>
              <w:rPr>
                <w:rFonts w:hint="eastAsia" w:ascii="仿宋" w:hAnsi="仿宋" w:eastAsia="仿宋" w:cs="仿宋"/>
                <w:sz w:val="24"/>
                <w:szCs w:val="24"/>
              </w:rPr>
            </w:pPr>
            <w:r>
              <w:rPr>
                <w:rFonts w:ascii="仿宋" w:hAnsi="仿宋" w:eastAsia="仿宋" w:cs="仿宋"/>
                <w:spacing w:val="-2"/>
                <w:sz w:val="24"/>
                <w:szCs w:val="24"/>
              </w:rPr>
              <w:t>0.25%</w:t>
            </w:r>
          </w:p>
        </w:tc>
        <w:tc>
          <w:tcPr>
            <w:tcW w:w="1004" w:type="pct"/>
          </w:tcPr>
          <w:p w14:paraId="52B3A029">
            <w:pPr>
              <w:widowControl w:val="0"/>
              <w:spacing w:line="400" w:lineRule="exact"/>
              <w:ind w:left="626"/>
              <w:rPr>
                <w:rFonts w:hint="eastAsia" w:ascii="仿宋" w:hAnsi="仿宋" w:eastAsia="仿宋" w:cs="仿宋"/>
                <w:sz w:val="24"/>
                <w:szCs w:val="24"/>
              </w:rPr>
            </w:pPr>
            <w:r>
              <w:rPr>
                <w:rFonts w:ascii="仿宋" w:hAnsi="仿宋" w:eastAsia="仿宋" w:cs="仿宋"/>
                <w:spacing w:val="-2"/>
                <w:sz w:val="24"/>
                <w:szCs w:val="24"/>
              </w:rPr>
              <w:t>0.35%</w:t>
            </w:r>
          </w:p>
        </w:tc>
      </w:tr>
      <w:tr w14:paraId="408C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15" w:type="pct"/>
          </w:tcPr>
          <w:p w14:paraId="32CE7739">
            <w:pPr>
              <w:widowControl w:val="0"/>
              <w:spacing w:line="400" w:lineRule="exact"/>
              <w:ind w:left="1256"/>
              <w:rPr>
                <w:rFonts w:hint="eastAsia" w:ascii="仿宋" w:hAnsi="仿宋" w:eastAsia="仿宋" w:cs="仿宋"/>
                <w:sz w:val="24"/>
                <w:szCs w:val="24"/>
              </w:rPr>
            </w:pPr>
            <w:r>
              <w:rPr>
                <w:rFonts w:ascii="仿宋" w:hAnsi="仿宋" w:eastAsia="仿宋" w:cs="仿宋"/>
                <w:spacing w:val="-2"/>
                <w:sz w:val="24"/>
                <w:szCs w:val="24"/>
              </w:rPr>
              <w:t>5000-10000</w:t>
            </w:r>
          </w:p>
        </w:tc>
        <w:tc>
          <w:tcPr>
            <w:tcW w:w="1011" w:type="pct"/>
          </w:tcPr>
          <w:p w14:paraId="35C098A7">
            <w:pPr>
              <w:widowControl w:val="0"/>
              <w:spacing w:line="400" w:lineRule="exact"/>
              <w:ind w:left="634"/>
              <w:rPr>
                <w:rFonts w:hint="eastAsia" w:ascii="仿宋" w:hAnsi="仿宋" w:eastAsia="仿宋" w:cs="仿宋"/>
                <w:sz w:val="24"/>
                <w:szCs w:val="24"/>
              </w:rPr>
            </w:pPr>
            <w:r>
              <w:rPr>
                <w:rFonts w:ascii="仿宋" w:hAnsi="仿宋" w:eastAsia="仿宋" w:cs="仿宋"/>
                <w:spacing w:val="-2"/>
                <w:sz w:val="24"/>
                <w:szCs w:val="24"/>
              </w:rPr>
              <w:t>0.25%</w:t>
            </w:r>
          </w:p>
        </w:tc>
        <w:tc>
          <w:tcPr>
            <w:tcW w:w="969" w:type="pct"/>
          </w:tcPr>
          <w:p w14:paraId="38AD1B6E">
            <w:pPr>
              <w:widowControl w:val="0"/>
              <w:spacing w:line="400" w:lineRule="exact"/>
              <w:ind w:left="655"/>
              <w:rPr>
                <w:rFonts w:hint="eastAsia" w:ascii="仿宋" w:hAnsi="仿宋" w:eastAsia="仿宋" w:cs="仿宋"/>
                <w:sz w:val="24"/>
                <w:szCs w:val="24"/>
              </w:rPr>
            </w:pPr>
            <w:r>
              <w:rPr>
                <w:rFonts w:ascii="仿宋" w:hAnsi="仿宋" w:eastAsia="仿宋" w:cs="仿宋"/>
                <w:sz w:val="24"/>
                <w:szCs w:val="24"/>
              </w:rPr>
              <w:t>0.1%</w:t>
            </w:r>
          </w:p>
        </w:tc>
        <w:tc>
          <w:tcPr>
            <w:tcW w:w="1004" w:type="pct"/>
          </w:tcPr>
          <w:p w14:paraId="64021FDA">
            <w:pPr>
              <w:widowControl w:val="0"/>
              <w:spacing w:line="400" w:lineRule="exact"/>
              <w:ind w:left="686"/>
              <w:rPr>
                <w:rFonts w:hint="eastAsia" w:ascii="仿宋" w:hAnsi="仿宋" w:eastAsia="仿宋" w:cs="仿宋"/>
                <w:sz w:val="24"/>
                <w:szCs w:val="24"/>
              </w:rPr>
            </w:pPr>
            <w:r>
              <w:rPr>
                <w:rFonts w:ascii="仿宋" w:hAnsi="仿宋" w:eastAsia="仿宋" w:cs="仿宋"/>
                <w:spacing w:val="-2"/>
                <w:sz w:val="24"/>
                <w:szCs w:val="24"/>
              </w:rPr>
              <w:t>0.2%</w:t>
            </w:r>
          </w:p>
        </w:tc>
      </w:tr>
      <w:tr w14:paraId="49A3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015" w:type="pct"/>
          </w:tcPr>
          <w:p w14:paraId="787A7E0B">
            <w:pPr>
              <w:widowControl w:val="0"/>
              <w:spacing w:line="400" w:lineRule="exact"/>
              <w:ind w:left="1149"/>
              <w:rPr>
                <w:rFonts w:hint="eastAsia" w:ascii="仿宋" w:hAnsi="仿宋" w:eastAsia="仿宋" w:cs="仿宋"/>
                <w:sz w:val="24"/>
                <w:szCs w:val="24"/>
              </w:rPr>
            </w:pPr>
            <w:r>
              <w:rPr>
                <w:rFonts w:ascii="仿宋" w:hAnsi="仿宋" w:eastAsia="仿宋" w:cs="仿宋"/>
                <w:spacing w:val="-3"/>
                <w:sz w:val="24"/>
                <w:szCs w:val="24"/>
              </w:rPr>
              <w:t>10000-100000</w:t>
            </w:r>
          </w:p>
        </w:tc>
        <w:tc>
          <w:tcPr>
            <w:tcW w:w="1011" w:type="pct"/>
          </w:tcPr>
          <w:p w14:paraId="0E426E3A">
            <w:pPr>
              <w:widowControl w:val="0"/>
              <w:spacing w:line="400" w:lineRule="exact"/>
              <w:ind w:left="634"/>
              <w:rPr>
                <w:rFonts w:hint="eastAsia" w:ascii="仿宋" w:hAnsi="仿宋" w:eastAsia="仿宋" w:cs="仿宋"/>
                <w:sz w:val="24"/>
                <w:szCs w:val="24"/>
              </w:rPr>
            </w:pPr>
            <w:r>
              <w:rPr>
                <w:rFonts w:ascii="仿宋" w:hAnsi="仿宋" w:eastAsia="仿宋" w:cs="仿宋"/>
                <w:spacing w:val="-2"/>
                <w:sz w:val="24"/>
                <w:szCs w:val="24"/>
              </w:rPr>
              <w:t>0.05%</w:t>
            </w:r>
          </w:p>
        </w:tc>
        <w:tc>
          <w:tcPr>
            <w:tcW w:w="969" w:type="pct"/>
          </w:tcPr>
          <w:p w14:paraId="258B4EDC">
            <w:pPr>
              <w:widowControl w:val="0"/>
              <w:spacing w:line="400" w:lineRule="exact"/>
              <w:ind w:left="595"/>
              <w:rPr>
                <w:rFonts w:hint="eastAsia" w:ascii="仿宋" w:hAnsi="仿宋" w:eastAsia="仿宋" w:cs="仿宋"/>
                <w:sz w:val="24"/>
                <w:szCs w:val="24"/>
              </w:rPr>
            </w:pPr>
            <w:r>
              <w:rPr>
                <w:rFonts w:ascii="仿宋" w:hAnsi="仿宋" w:eastAsia="仿宋" w:cs="仿宋"/>
                <w:spacing w:val="-2"/>
                <w:sz w:val="24"/>
                <w:szCs w:val="24"/>
              </w:rPr>
              <w:t>0.05%</w:t>
            </w:r>
          </w:p>
        </w:tc>
        <w:tc>
          <w:tcPr>
            <w:tcW w:w="1004" w:type="pct"/>
          </w:tcPr>
          <w:p w14:paraId="6C5D12B4">
            <w:pPr>
              <w:widowControl w:val="0"/>
              <w:spacing w:line="400" w:lineRule="exact"/>
              <w:ind w:left="626"/>
              <w:rPr>
                <w:rFonts w:hint="eastAsia" w:ascii="仿宋" w:hAnsi="仿宋" w:eastAsia="仿宋" w:cs="仿宋"/>
                <w:sz w:val="24"/>
                <w:szCs w:val="24"/>
              </w:rPr>
            </w:pPr>
            <w:r>
              <w:rPr>
                <w:rFonts w:ascii="仿宋" w:hAnsi="仿宋" w:eastAsia="仿宋" w:cs="仿宋"/>
                <w:spacing w:val="-2"/>
                <w:sz w:val="24"/>
                <w:szCs w:val="24"/>
              </w:rPr>
              <w:t>0.05%</w:t>
            </w:r>
          </w:p>
        </w:tc>
      </w:tr>
      <w:tr w14:paraId="6A63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015" w:type="pct"/>
          </w:tcPr>
          <w:p w14:paraId="1F8680C8">
            <w:pPr>
              <w:widowControl w:val="0"/>
              <w:spacing w:line="400" w:lineRule="exact"/>
              <w:ind w:left="1240"/>
              <w:rPr>
                <w:rFonts w:hint="eastAsia" w:ascii="仿宋" w:hAnsi="仿宋" w:eastAsia="仿宋" w:cs="仿宋"/>
                <w:sz w:val="24"/>
                <w:szCs w:val="24"/>
              </w:rPr>
            </w:pPr>
            <w:r>
              <w:rPr>
                <w:rFonts w:ascii="仿宋" w:hAnsi="仿宋" w:eastAsia="仿宋" w:cs="仿宋"/>
                <w:spacing w:val="-6"/>
                <w:sz w:val="24"/>
                <w:szCs w:val="24"/>
              </w:rPr>
              <w:t>100000以上</w:t>
            </w:r>
          </w:p>
        </w:tc>
        <w:tc>
          <w:tcPr>
            <w:tcW w:w="1011" w:type="pct"/>
          </w:tcPr>
          <w:p w14:paraId="0607314E">
            <w:pPr>
              <w:widowControl w:val="0"/>
              <w:spacing w:line="400" w:lineRule="exact"/>
              <w:ind w:left="634"/>
              <w:rPr>
                <w:rFonts w:hint="eastAsia" w:ascii="仿宋" w:hAnsi="仿宋" w:eastAsia="仿宋" w:cs="仿宋"/>
                <w:sz w:val="24"/>
                <w:szCs w:val="24"/>
              </w:rPr>
            </w:pPr>
            <w:r>
              <w:rPr>
                <w:rFonts w:ascii="仿宋" w:hAnsi="仿宋" w:eastAsia="仿宋" w:cs="仿宋"/>
                <w:spacing w:val="-2"/>
                <w:sz w:val="24"/>
                <w:szCs w:val="24"/>
              </w:rPr>
              <w:t>0.01%</w:t>
            </w:r>
          </w:p>
        </w:tc>
        <w:tc>
          <w:tcPr>
            <w:tcW w:w="969" w:type="pct"/>
          </w:tcPr>
          <w:p w14:paraId="5CFB3D19">
            <w:pPr>
              <w:widowControl w:val="0"/>
              <w:spacing w:line="400" w:lineRule="exact"/>
              <w:ind w:left="595"/>
              <w:rPr>
                <w:rFonts w:hint="eastAsia" w:ascii="仿宋" w:hAnsi="仿宋" w:eastAsia="仿宋" w:cs="仿宋"/>
                <w:sz w:val="24"/>
                <w:szCs w:val="24"/>
              </w:rPr>
            </w:pPr>
            <w:r>
              <w:rPr>
                <w:rFonts w:ascii="仿宋" w:hAnsi="仿宋" w:eastAsia="仿宋" w:cs="仿宋"/>
                <w:spacing w:val="-2"/>
                <w:sz w:val="24"/>
                <w:szCs w:val="24"/>
              </w:rPr>
              <w:t>0.01%</w:t>
            </w:r>
          </w:p>
        </w:tc>
        <w:tc>
          <w:tcPr>
            <w:tcW w:w="1004" w:type="pct"/>
          </w:tcPr>
          <w:p w14:paraId="2D63D807">
            <w:pPr>
              <w:widowControl w:val="0"/>
              <w:spacing w:line="400" w:lineRule="exact"/>
              <w:ind w:left="626"/>
              <w:rPr>
                <w:rFonts w:hint="eastAsia" w:ascii="仿宋" w:hAnsi="仿宋" w:eastAsia="仿宋" w:cs="仿宋"/>
                <w:sz w:val="24"/>
                <w:szCs w:val="24"/>
              </w:rPr>
            </w:pPr>
            <w:r>
              <w:rPr>
                <w:rFonts w:ascii="仿宋" w:hAnsi="仿宋" w:eastAsia="仿宋" w:cs="仿宋"/>
                <w:spacing w:val="-2"/>
                <w:sz w:val="24"/>
                <w:szCs w:val="24"/>
              </w:rPr>
              <w:t>0.01%</w:t>
            </w:r>
          </w:p>
        </w:tc>
      </w:tr>
    </w:tbl>
    <w:p w14:paraId="7D8B10EA">
      <w:pPr>
        <w:spacing w:line="400" w:lineRule="exact"/>
        <w:ind w:left="520"/>
        <w:rPr>
          <w:rFonts w:hint="eastAsia" w:ascii="宋体" w:hAnsi="宋体" w:eastAsia="宋体" w:cs="宋体"/>
          <w:spacing w:val="-1"/>
          <w:sz w:val="24"/>
          <w:szCs w:val="24"/>
          <w:lang w:eastAsia="zh-CN"/>
        </w:rPr>
      </w:pPr>
      <w:r>
        <w:rPr>
          <w:rFonts w:ascii="宋体" w:hAnsi="宋体" w:eastAsia="宋体" w:cs="宋体"/>
          <w:spacing w:val="-3"/>
          <w:sz w:val="24"/>
          <w:szCs w:val="24"/>
          <w:lang w:eastAsia="zh-CN"/>
        </w:rPr>
        <w:t>注：招标代理服务费按差额定率累进法计算。</w:t>
      </w:r>
    </w:p>
    <w:p w14:paraId="5B14D106">
      <w:pPr>
        <w:pStyle w:val="11"/>
        <w:spacing w:line="400" w:lineRule="exact"/>
        <w:rPr>
          <w:rFonts w:hint="eastAsia" w:hAnsi="宋体" w:cs="宋体"/>
          <w:szCs w:val="24"/>
        </w:rPr>
      </w:pPr>
      <w:r>
        <w:rPr>
          <w:rFonts w:hint="eastAsia" w:hAnsi="宋体" w:cs="宋体"/>
          <w:szCs w:val="24"/>
        </w:rPr>
        <w:t>39、签订合同</w:t>
      </w:r>
    </w:p>
    <w:p w14:paraId="48A3C24C">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39.1中标人的中标价即为合同价款。</w:t>
      </w:r>
    </w:p>
    <w:p w14:paraId="4D61C5C2">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39.2中标人在收到中标通知书之日起，应及时与招标人办理洽谈和签订承包合同的各项手续并做好进场准备工作(含临时设施、施工水电接引)，招标人另有规定的除外。</w:t>
      </w:r>
    </w:p>
    <w:p w14:paraId="3AEC8FC0">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39.3招标人和中标人应当在投标须知前附表规定的时间内，根据招标文件和中标人的投标文件订立书面合同。中标人无正当理由拒签合同的，取消其中标资格，给招标人造成损失的，中标人应当予以赔偿。</w:t>
      </w:r>
    </w:p>
    <w:p w14:paraId="20537E49">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39.4发出中标通知书后，招标人无正当理由拒签合同，给中标人造成损失的，应当赔偿损失。</w:t>
      </w:r>
    </w:p>
    <w:p w14:paraId="3E207F93">
      <w:pPr>
        <w:widowControl w:val="0"/>
        <w:kinsoku/>
        <w:autoSpaceDE/>
        <w:autoSpaceDN/>
        <w:spacing w:line="40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39.5中标人应当按照合同约定履行义务，完成中标项目施工，不得将中标项目施工转让（转包）给他人。</w:t>
      </w:r>
    </w:p>
    <w:p w14:paraId="7FCB080F">
      <w:pPr>
        <w:pStyle w:val="11"/>
        <w:spacing w:line="400" w:lineRule="exact"/>
        <w:rPr>
          <w:rFonts w:hint="eastAsia" w:hAnsi="宋体" w:cs="宋体"/>
          <w:szCs w:val="24"/>
        </w:rPr>
      </w:pPr>
      <w:r>
        <w:rPr>
          <w:rFonts w:hint="eastAsia" w:hAnsi="宋体" w:cs="宋体"/>
          <w:szCs w:val="24"/>
        </w:rPr>
        <w:t>40、履约担保</w:t>
      </w:r>
    </w:p>
    <w:p w14:paraId="2B01299A">
      <w:pPr>
        <w:pStyle w:val="11"/>
        <w:spacing w:line="400" w:lineRule="exact"/>
        <w:ind w:firstLine="480" w:firstLineChars="200"/>
        <w:rPr>
          <w:rFonts w:hint="eastAsia" w:hAnsi="宋体" w:cs="宋体"/>
          <w:szCs w:val="24"/>
        </w:rPr>
      </w:pPr>
      <w:r>
        <w:rPr>
          <w:rFonts w:hint="eastAsia" w:hAnsi="宋体" w:cs="宋体"/>
          <w:szCs w:val="24"/>
        </w:rPr>
        <w:t>合同协议书签署前，中标人应按投标须知前附表的规定提交履约保证金，中标人拒绝提交履约保证金的，视为放弃中标资格，招标人将有充分的理由不与其签订合同，给招标人造成损失的，中标人应当予以赔偿并承担相应的法律责任。</w:t>
      </w:r>
    </w:p>
    <w:p w14:paraId="66A5C00D">
      <w:pPr>
        <w:pStyle w:val="11"/>
        <w:spacing w:line="400" w:lineRule="exact"/>
        <w:rPr>
          <w:rFonts w:hint="eastAsia" w:hAnsi="宋体" w:cs="宋体"/>
          <w:szCs w:val="24"/>
        </w:rPr>
      </w:pPr>
      <w:r>
        <w:rPr>
          <w:rFonts w:hint="eastAsia" w:hAnsi="宋体" w:cs="宋体"/>
          <w:szCs w:val="24"/>
        </w:rPr>
        <w:t>41、履约保证金退还</w:t>
      </w:r>
    </w:p>
    <w:p w14:paraId="7FC59B05">
      <w:pPr>
        <w:pStyle w:val="45"/>
        <w:spacing w:line="400" w:lineRule="exact"/>
        <w:ind w:firstLine="480" w:firstLineChars="200"/>
        <w:rPr>
          <w:rFonts w:hint="eastAsia" w:hAnsi="宋体"/>
        </w:rPr>
      </w:pPr>
      <w:r>
        <w:rPr>
          <w:rFonts w:hint="eastAsia" w:hAnsi="宋体"/>
        </w:rPr>
        <w:t>中标人未发生招标文件和合同约定的违约情形，工程竣工验收后，可凭建设工程项目竣工验收报告（初验报告或单位工程验收报告或交工验收报告）等材料，向招标人提出退还履约保证金的申请。招标人应当从收到申请及相关材料之日起30日内，将履约保证金退还中标人。</w:t>
      </w:r>
    </w:p>
    <w:p w14:paraId="5AD90906">
      <w:pPr>
        <w:pStyle w:val="45"/>
        <w:spacing w:line="400" w:lineRule="exact"/>
        <w:rPr>
          <w:rFonts w:hint="eastAsia" w:hAnsi="宋体"/>
          <w:szCs w:val="24"/>
        </w:rPr>
      </w:pPr>
      <w:r>
        <w:rPr>
          <w:rFonts w:hint="eastAsia" w:hAnsi="宋体"/>
          <w:szCs w:val="24"/>
        </w:rPr>
        <w:t>42、支付担保</w:t>
      </w:r>
    </w:p>
    <w:p w14:paraId="533C0EE9">
      <w:pPr>
        <w:widowControl w:val="0"/>
        <w:kinsoku/>
        <w:autoSpaceDE/>
        <w:autoSpaceDN/>
        <w:spacing w:line="400" w:lineRule="exact"/>
        <w:ind w:firstLine="5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本工程是否实行工程款支付担保及有关规定见前附表规定，如实行，招标人最迟也将在签订合同的同时向中标人提交。</w:t>
      </w:r>
    </w:p>
    <w:p w14:paraId="4214D16B">
      <w:pPr>
        <w:rPr>
          <w:lang w:eastAsia="zh-CN"/>
        </w:rPr>
      </w:pPr>
      <w:r>
        <w:rPr>
          <w:lang w:eastAsia="zh-CN"/>
        </w:rPr>
        <w:br w:type="page"/>
      </w:r>
    </w:p>
    <w:p w14:paraId="33B2C85E">
      <w:pPr>
        <w:rPr>
          <w:lang w:eastAsia="zh-CN"/>
        </w:rPr>
      </w:pPr>
    </w:p>
    <w:p w14:paraId="6CBD9776">
      <w:pPr>
        <w:rPr>
          <w:lang w:eastAsia="zh-CN"/>
        </w:rPr>
      </w:pPr>
    </w:p>
    <w:p w14:paraId="4068777D">
      <w:pPr>
        <w:spacing w:before="117" w:line="219" w:lineRule="auto"/>
        <w:ind w:left="2388"/>
        <w:outlineLvl w:val="0"/>
        <w:rPr>
          <w:rFonts w:hint="eastAsia" w:ascii="宋体" w:hAnsi="宋体" w:eastAsia="宋体" w:cs="宋体"/>
          <w:sz w:val="36"/>
          <w:szCs w:val="36"/>
          <w:lang w:eastAsia="zh-CN"/>
        </w:rPr>
      </w:pPr>
      <w:r>
        <w:rPr>
          <w:rFonts w:ascii="宋体" w:hAnsi="宋体" w:eastAsia="宋体" w:cs="宋体"/>
          <w:b/>
          <w:bCs/>
          <w:spacing w:val="-4"/>
          <w:sz w:val="36"/>
          <w:szCs w:val="36"/>
          <w:lang w:eastAsia="zh-CN"/>
        </w:rPr>
        <w:t>第</w:t>
      </w:r>
      <w:r>
        <w:rPr>
          <w:rFonts w:hint="eastAsia" w:ascii="宋体" w:hAnsi="宋体" w:eastAsia="宋体" w:cs="宋体"/>
          <w:b/>
          <w:bCs/>
          <w:spacing w:val="-4"/>
          <w:sz w:val="36"/>
          <w:szCs w:val="36"/>
          <w:lang w:eastAsia="zh-CN"/>
        </w:rPr>
        <w:t>三</w:t>
      </w:r>
      <w:r>
        <w:rPr>
          <w:rFonts w:ascii="宋体" w:hAnsi="宋体" w:eastAsia="宋体" w:cs="宋体"/>
          <w:b/>
          <w:bCs/>
          <w:spacing w:val="-4"/>
          <w:sz w:val="36"/>
          <w:szCs w:val="36"/>
          <w:lang w:eastAsia="zh-CN"/>
        </w:rPr>
        <w:t>章合同条款及格式</w:t>
      </w:r>
    </w:p>
    <w:p w14:paraId="02BCC65D">
      <w:pPr>
        <w:pStyle w:val="3"/>
        <w:spacing w:line="253" w:lineRule="auto"/>
        <w:rPr>
          <w:lang w:eastAsia="zh-CN"/>
        </w:rPr>
      </w:pPr>
    </w:p>
    <w:p w14:paraId="1F1289FF">
      <w:pPr>
        <w:pStyle w:val="3"/>
        <w:spacing w:line="254" w:lineRule="auto"/>
        <w:rPr>
          <w:lang w:eastAsia="zh-CN"/>
        </w:rPr>
      </w:pPr>
    </w:p>
    <w:p w14:paraId="2544B590">
      <w:pPr>
        <w:pStyle w:val="3"/>
        <w:spacing w:line="254" w:lineRule="auto"/>
        <w:rPr>
          <w:lang w:eastAsia="zh-CN"/>
        </w:rPr>
      </w:pPr>
    </w:p>
    <w:p w14:paraId="57F60916">
      <w:pPr>
        <w:pStyle w:val="3"/>
        <w:spacing w:line="254" w:lineRule="auto"/>
        <w:rPr>
          <w:lang w:eastAsia="zh-CN"/>
        </w:rPr>
      </w:pPr>
    </w:p>
    <w:p w14:paraId="14C77E8A">
      <w:pPr>
        <w:spacing w:before="110" w:line="453" w:lineRule="exact"/>
        <w:ind w:left="3146"/>
        <w:rPr>
          <w:rFonts w:ascii="Calibri" w:hAnsi="Calibri" w:eastAsia="Calibri" w:cs="Calibri"/>
          <w:sz w:val="36"/>
          <w:szCs w:val="36"/>
          <w:lang w:eastAsia="zh-CN"/>
        </w:rPr>
      </w:pPr>
      <w:r>
        <w:rPr>
          <w:rFonts w:ascii="Calibri" w:hAnsi="Calibri" w:eastAsia="Calibri" w:cs="Calibri"/>
          <w:spacing w:val="-2"/>
          <w:position w:val="2"/>
          <w:sz w:val="36"/>
          <w:szCs w:val="36"/>
          <w:lang w:eastAsia="zh-CN"/>
        </w:rPr>
        <w:t>GF-2020-0216</w:t>
      </w:r>
    </w:p>
    <w:p w14:paraId="444E3D0A">
      <w:pPr>
        <w:pStyle w:val="3"/>
        <w:spacing w:line="245" w:lineRule="auto"/>
        <w:rPr>
          <w:lang w:eastAsia="zh-CN"/>
        </w:rPr>
      </w:pPr>
    </w:p>
    <w:p w14:paraId="0888785C">
      <w:pPr>
        <w:pStyle w:val="3"/>
        <w:spacing w:line="245" w:lineRule="auto"/>
        <w:rPr>
          <w:lang w:eastAsia="zh-CN"/>
        </w:rPr>
      </w:pPr>
    </w:p>
    <w:p w14:paraId="767E1F16">
      <w:pPr>
        <w:pStyle w:val="3"/>
        <w:spacing w:line="245" w:lineRule="auto"/>
        <w:rPr>
          <w:lang w:eastAsia="zh-CN"/>
        </w:rPr>
      </w:pPr>
    </w:p>
    <w:p w14:paraId="5F7B7BA3">
      <w:pPr>
        <w:pStyle w:val="3"/>
        <w:spacing w:line="245" w:lineRule="auto"/>
        <w:rPr>
          <w:lang w:eastAsia="zh-CN"/>
        </w:rPr>
      </w:pPr>
    </w:p>
    <w:p w14:paraId="1F4304BE">
      <w:pPr>
        <w:pStyle w:val="3"/>
        <w:spacing w:line="246" w:lineRule="auto"/>
        <w:rPr>
          <w:lang w:eastAsia="zh-CN"/>
        </w:rPr>
      </w:pPr>
    </w:p>
    <w:p w14:paraId="6919AF68">
      <w:pPr>
        <w:pStyle w:val="3"/>
        <w:spacing w:line="246" w:lineRule="auto"/>
        <w:rPr>
          <w:lang w:eastAsia="zh-CN"/>
        </w:rPr>
      </w:pPr>
    </w:p>
    <w:p w14:paraId="196B2670">
      <w:pPr>
        <w:pStyle w:val="3"/>
        <w:spacing w:line="246" w:lineRule="auto"/>
        <w:rPr>
          <w:lang w:eastAsia="zh-CN"/>
        </w:rPr>
      </w:pPr>
    </w:p>
    <w:p w14:paraId="3EAE619E">
      <w:pPr>
        <w:pStyle w:val="3"/>
        <w:spacing w:line="246" w:lineRule="auto"/>
        <w:rPr>
          <w:lang w:eastAsia="zh-CN"/>
        </w:rPr>
      </w:pPr>
    </w:p>
    <w:p w14:paraId="42E3B673">
      <w:pPr>
        <w:pStyle w:val="3"/>
        <w:spacing w:line="246" w:lineRule="auto"/>
        <w:rPr>
          <w:lang w:eastAsia="zh-CN"/>
        </w:rPr>
      </w:pPr>
    </w:p>
    <w:p w14:paraId="34DB41A1">
      <w:pPr>
        <w:pStyle w:val="3"/>
        <w:spacing w:line="246" w:lineRule="auto"/>
        <w:rPr>
          <w:lang w:eastAsia="zh-CN"/>
        </w:rPr>
      </w:pPr>
    </w:p>
    <w:p w14:paraId="5A718DE3">
      <w:pPr>
        <w:pStyle w:val="3"/>
        <w:spacing w:line="246" w:lineRule="auto"/>
        <w:rPr>
          <w:lang w:eastAsia="zh-CN"/>
        </w:rPr>
      </w:pPr>
    </w:p>
    <w:p w14:paraId="515D137B">
      <w:pPr>
        <w:spacing w:before="234" w:line="220" w:lineRule="auto"/>
        <w:ind w:left="267"/>
        <w:rPr>
          <w:rFonts w:hint="eastAsia" w:ascii="宋体" w:hAnsi="宋体" w:eastAsia="宋体" w:cs="宋体"/>
          <w:sz w:val="72"/>
          <w:szCs w:val="72"/>
          <w:lang w:eastAsia="zh-CN"/>
        </w:rPr>
      </w:pPr>
      <w:bookmarkStart w:id="36" w:name="bookmark4"/>
      <w:bookmarkEnd w:id="36"/>
      <w:r>
        <w:rPr>
          <w:rFonts w:ascii="宋体" w:hAnsi="宋体" w:eastAsia="宋体" w:cs="宋体"/>
          <w:b/>
          <w:bCs/>
          <w:spacing w:val="-9"/>
          <w:sz w:val="72"/>
          <w:szCs w:val="72"/>
          <w:lang w:eastAsia="zh-CN"/>
        </w:rPr>
        <w:t>建设项目工程总承包合同</w:t>
      </w:r>
    </w:p>
    <w:p w14:paraId="7AC1439A">
      <w:pPr>
        <w:spacing w:before="211" w:line="219" w:lineRule="auto"/>
        <w:ind w:left="2674"/>
        <w:rPr>
          <w:rFonts w:hint="eastAsia" w:ascii="宋体" w:hAnsi="宋体" w:eastAsia="宋体" w:cs="宋体"/>
          <w:sz w:val="51"/>
          <w:szCs w:val="51"/>
          <w:lang w:eastAsia="zh-CN"/>
        </w:rPr>
      </w:pPr>
      <w:r>
        <w:rPr>
          <w:rFonts w:ascii="宋体" w:hAnsi="宋体" w:eastAsia="宋体" w:cs="宋体"/>
          <w:b/>
          <w:bCs/>
          <w:spacing w:val="-10"/>
          <w:sz w:val="51"/>
          <w:szCs w:val="51"/>
          <w:lang w:eastAsia="zh-CN"/>
        </w:rPr>
        <w:t>（示范文本）</w:t>
      </w:r>
    </w:p>
    <w:p w14:paraId="634B56B1">
      <w:pPr>
        <w:spacing w:before="1"/>
        <w:rPr>
          <w:lang w:eastAsia="zh-CN"/>
        </w:rPr>
      </w:pPr>
    </w:p>
    <w:p w14:paraId="5C49A5EE">
      <w:pPr>
        <w:spacing w:before="1"/>
        <w:rPr>
          <w:lang w:eastAsia="zh-CN"/>
        </w:rPr>
      </w:pPr>
    </w:p>
    <w:p w14:paraId="106F8F4E">
      <w:pPr>
        <w:spacing w:before="1"/>
        <w:rPr>
          <w:lang w:eastAsia="zh-CN"/>
        </w:rPr>
      </w:pPr>
    </w:p>
    <w:p w14:paraId="22D94FC5">
      <w:pPr>
        <w:spacing w:before="1"/>
        <w:rPr>
          <w:lang w:eastAsia="zh-CN"/>
        </w:rPr>
      </w:pPr>
    </w:p>
    <w:p w14:paraId="05D60765">
      <w:pPr>
        <w:spacing w:before="1"/>
        <w:rPr>
          <w:lang w:eastAsia="zh-CN"/>
        </w:rPr>
      </w:pPr>
    </w:p>
    <w:p w14:paraId="7EE66476">
      <w:pPr>
        <w:spacing w:before="1"/>
        <w:rPr>
          <w:lang w:eastAsia="zh-CN"/>
        </w:rPr>
      </w:pPr>
    </w:p>
    <w:p w14:paraId="67A8FA9A">
      <w:pPr>
        <w:spacing w:before="1"/>
        <w:rPr>
          <w:lang w:eastAsia="zh-CN"/>
        </w:rPr>
      </w:pPr>
    </w:p>
    <w:p w14:paraId="58A2C9F9">
      <w:pPr>
        <w:spacing w:before="1"/>
        <w:rPr>
          <w:lang w:eastAsia="zh-CN"/>
        </w:rPr>
      </w:pPr>
    </w:p>
    <w:p w14:paraId="782B421A">
      <w:pPr>
        <w:spacing w:before="1"/>
        <w:rPr>
          <w:lang w:eastAsia="zh-CN"/>
        </w:rPr>
      </w:pPr>
    </w:p>
    <w:p w14:paraId="2E93C7D2">
      <w:pPr>
        <w:spacing w:before="1"/>
        <w:rPr>
          <w:lang w:eastAsia="zh-CN"/>
        </w:rPr>
      </w:pPr>
    </w:p>
    <w:p w14:paraId="76659E2D">
      <w:pPr>
        <w:spacing w:before="1"/>
        <w:rPr>
          <w:lang w:eastAsia="zh-CN"/>
        </w:rPr>
      </w:pPr>
    </w:p>
    <w:p w14:paraId="33720ADA">
      <w:pPr>
        <w:spacing w:before="1"/>
        <w:rPr>
          <w:lang w:eastAsia="zh-CN"/>
        </w:rPr>
      </w:pPr>
    </w:p>
    <w:p w14:paraId="39171341">
      <w:pPr>
        <w:spacing w:before="1"/>
        <w:rPr>
          <w:lang w:eastAsia="zh-CN"/>
        </w:rPr>
      </w:pPr>
    </w:p>
    <w:p w14:paraId="454A7815">
      <w:pPr>
        <w:spacing w:before="1"/>
        <w:rPr>
          <w:lang w:eastAsia="zh-CN"/>
        </w:rPr>
      </w:pPr>
    </w:p>
    <w:p w14:paraId="54EDA4CE">
      <w:pPr>
        <w:rPr>
          <w:lang w:eastAsia="zh-CN"/>
        </w:rPr>
      </w:pPr>
    </w:p>
    <w:p w14:paraId="3BD8513F">
      <w:pPr>
        <w:jc w:val="center"/>
        <w:rPr>
          <w:rFonts w:eastAsia="宋体"/>
          <w:lang w:eastAsia="zh-CN"/>
        </w:rPr>
      </w:pPr>
      <w:r>
        <w:rPr>
          <w:rFonts w:ascii="宋体" w:hAnsi="宋体" w:eastAsia="宋体" w:cs="宋体"/>
          <w:b/>
          <w:bCs/>
          <w:spacing w:val="-4"/>
          <w:sz w:val="24"/>
          <w:szCs w:val="24"/>
          <w:lang w:eastAsia="zh-CN"/>
        </w:rPr>
        <w:t>中华人民共和国住房和城乡建设部</w:t>
      </w:r>
      <w:r>
        <w:rPr>
          <w:rFonts w:ascii="宋体" w:hAnsi="宋体" w:eastAsia="宋体" w:cs="宋体"/>
          <w:b/>
          <w:bCs/>
          <w:spacing w:val="-7"/>
          <w:sz w:val="24"/>
          <w:szCs w:val="24"/>
          <w:lang w:eastAsia="zh-CN"/>
        </w:rPr>
        <w:t>制定</w:t>
      </w:r>
    </w:p>
    <w:p w14:paraId="74B1B2A1">
      <w:pPr>
        <w:jc w:val="center"/>
        <w:rPr>
          <w:lang w:eastAsia="zh-CN"/>
        </w:rPr>
      </w:pPr>
    </w:p>
    <w:p w14:paraId="601EB509">
      <w:pPr>
        <w:jc w:val="center"/>
        <w:rPr>
          <w:lang w:eastAsia="zh-CN"/>
        </w:rPr>
      </w:pPr>
      <w:r>
        <w:rPr>
          <w:rFonts w:ascii="宋体" w:hAnsi="宋体" w:eastAsia="宋体" w:cs="宋体"/>
          <w:b/>
          <w:bCs/>
          <w:spacing w:val="-4"/>
          <w:sz w:val="24"/>
          <w:szCs w:val="24"/>
          <w:lang w:eastAsia="zh-CN"/>
        </w:rPr>
        <w:t>国家市场监督管理总局</w:t>
      </w:r>
    </w:p>
    <w:p w14:paraId="1513FF80">
      <w:pPr>
        <w:rPr>
          <w:lang w:eastAsia="zh-CN"/>
        </w:rPr>
      </w:pPr>
    </w:p>
    <w:p w14:paraId="3B3D9430">
      <w:pPr>
        <w:rPr>
          <w:lang w:eastAsia="zh-CN"/>
        </w:rPr>
      </w:pPr>
    </w:p>
    <w:p w14:paraId="446AC23D">
      <w:pPr>
        <w:rPr>
          <w:lang w:eastAsia="zh-CN"/>
        </w:rPr>
      </w:pPr>
    </w:p>
    <w:p w14:paraId="4EAA7EF8">
      <w:pPr>
        <w:rPr>
          <w:lang w:eastAsia="zh-CN"/>
        </w:rPr>
      </w:pPr>
    </w:p>
    <w:p w14:paraId="7DD5BDA4">
      <w:pPr>
        <w:rPr>
          <w:rFonts w:eastAsiaTheme="minorEastAsia"/>
          <w:lang w:eastAsia="zh-CN"/>
        </w:rPr>
      </w:pPr>
    </w:p>
    <w:p w14:paraId="0BD93CB6">
      <w:pPr>
        <w:pStyle w:val="3"/>
        <w:rPr>
          <w:lang w:eastAsia="zh-CN"/>
        </w:rPr>
      </w:pPr>
    </w:p>
    <w:p w14:paraId="27FAB69C">
      <w:pPr>
        <w:rPr>
          <w:lang w:eastAsia="zh-CN"/>
        </w:rPr>
      </w:pPr>
      <w:r>
        <w:rPr>
          <w:lang w:eastAsia="zh-CN"/>
        </w:rPr>
        <w:br w:type="page"/>
      </w:r>
    </w:p>
    <w:p w14:paraId="583C43C1">
      <w:pPr>
        <w:spacing w:before="357" w:line="223" w:lineRule="auto"/>
        <w:ind w:left="3571"/>
        <w:rPr>
          <w:rFonts w:hint="eastAsia" w:ascii="宋体" w:hAnsi="宋体" w:eastAsia="宋体" w:cs="宋体"/>
          <w:sz w:val="43"/>
          <w:szCs w:val="43"/>
          <w:lang w:eastAsia="zh-CN"/>
        </w:rPr>
      </w:pPr>
      <w:r>
        <w:rPr>
          <w:rFonts w:ascii="宋体" w:hAnsi="宋体" w:eastAsia="宋体" w:cs="宋体"/>
          <w:b/>
          <w:bCs/>
          <w:spacing w:val="-12"/>
          <w:sz w:val="43"/>
          <w:szCs w:val="43"/>
          <w:lang w:eastAsia="zh-CN"/>
        </w:rPr>
        <w:t>说明</w:t>
      </w:r>
    </w:p>
    <w:p w14:paraId="1B002F16">
      <w:pPr>
        <w:spacing w:before="21" w:line="357" w:lineRule="auto"/>
        <w:ind w:firstLine="483"/>
        <w:jc w:val="both"/>
        <w:rPr>
          <w:rFonts w:hint="eastAsia" w:ascii="宋体" w:hAnsi="宋体" w:eastAsia="宋体" w:cs="宋体"/>
          <w:spacing w:val="-1"/>
          <w:sz w:val="24"/>
          <w:szCs w:val="24"/>
          <w:lang w:eastAsia="zh-CN"/>
        </w:rPr>
      </w:pPr>
    </w:p>
    <w:p w14:paraId="711B2F03">
      <w:pPr>
        <w:ind w:firstLine="480" w:firstLineChars="200"/>
        <w:rPr>
          <w:sz w:val="24"/>
          <w:szCs w:val="24"/>
          <w:lang w:eastAsia="zh-CN"/>
        </w:rPr>
      </w:pPr>
      <w:r>
        <w:rPr>
          <w:sz w:val="24"/>
          <w:szCs w:val="24"/>
          <w:lang w:eastAsia="zh-CN"/>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3AE785FE">
      <w:pPr>
        <w:rPr>
          <w:sz w:val="24"/>
          <w:szCs w:val="24"/>
          <w:lang w:eastAsia="zh-CN"/>
        </w:rPr>
      </w:pPr>
      <w:r>
        <w:rPr>
          <w:sz w:val="24"/>
          <w:szCs w:val="24"/>
          <w:lang w:eastAsia="zh-CN"/>
        </w:rPr>
        <w:t>一、《示范文本》的组成</w:t>
      </w:r>
    </w:p>
    <w:p w14:paraId="5F0C3D82">
      <w:pPr>
        <w:ind w:firstLine="480" w:firstLineChars="200"/>
        <w:rPr>
          <w:sz w:val="24"/>
          <w:szCs w:val="24"/>
          <w:lang w:eastAsia="zh-CN"/>
        </w:rPr>
      </w:pPr>
      <w:r>
        <w:rPr>
          <w:sz w:val="24"/>
          <w:szCs w:val="24"/>
          <w:lang w:eastAsia="zh-CN"/>
        </w:rPr>
        <w:t>《示范文本》由合同协议书、通用合同条件和专用合同条件三部分组成。</w:t>
      </w:r>
    </w:p>
    <w:p w14:paraId="73A09511">
      <w:pPr>
        <w:rPr>
          <w:sz w:val="24"/>
          <w:szCs w:val="24"/>
          <w:lang w:eastAsia="zh-CN"/>
        </w:rPr>
      </w:pPr>
      <w:r>
        <w:rPr>
          <w:sz w:val="24"/>
          <w:szCs w:val="24"/>
          <w:lang w:eastAsia="zh-CN"/>
        </w:rPr>
        <w:t>（一）合同协议书</w:t>
      </w:r>
    </w:p>
    <w:p w14:paraId="72839C24">
      <w:pPr>
        <w:ind w:firstLine="480" w:firstLineChars="200"/>
        <w:rPr>
          <w:sz w:val="24"/>
          <w:szCs w:val="24"/>
          <w:lang w:eastAsia="zh-CN"/>
        </w:rPr>
      </w:pPr>
      <w:r>
        <w:rPr>
          <w:sz w:val="24"/>
          <w:szCs w:val="24"/>
          <w:lang w:eastAsia="zh-CN"/>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r>
        <w:rPr>
          <w:rFonts w:hint="eastAsia"/>
          <w:sz w:val="24"/>
          <w:szCs w:val="24"/>
          <w:lang w:eastAsia="zh-CN"/>
        </w:rPr>
        <w:t>。</w:t>
      </w:r>
    </w:p>
    <w:p w14:paraId="3E0A11BB">
      <w:pPr>
        <w:rPr>
          <w:sz w:val="24"/>
          <w:szCs w:val="24"/>
          <w:lang w:eastAsia="zh-CN"/>
        </w:rPr>
      </w:pPr>
      <w:r>
        <w:rPr>
          <w:sz w:val="24"/>
          <w:szCs w:val="24"/>
          <w:lang w:eastAsia="zh-CN"/>
        </w:rPr>
        <w:t>（二）通用合同条件</w:t>
      </w:r>
    </w:p>
    <w:p w14:paraId="23570821">
      <w:pPr>
        <w:ind w:firstLine="480" w:firstLineChars="200"/>
        <w:rPr>
          <w:sz w:val="24"/>
          <w:szCs w:val="24"/>
          <w:lang w:eastAsia="zh-CN"/>
        </w:rPr>
      </w:pPr>
      <w:r>
        <w:rPr>
          <w:sz w:val="24"/>
          <w:szCs w:val="24"/>
          <w:lang w:eastAsia="zh-CN"/>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r>
        <w:rPr>
          <w:rFonts w:hint="eastAsia"/>
          <w:sz w:val="24"/>
          <w:szCs w:val="24"/>
          <w:lang w:eastAsia="zh-CN"/>
        </w:rPr>
        <w:t>：</w:t>
      </w:r>
      <w:r>
        <w:rPr>
          <w:sz w:val="24"/>
          <w:szCs w:val="24"/>
          <w:lang w:eastAsia="zh-CN"/>
        </w:rPr>
        <w:t>第1条一般约定，第2条发包人，第3条发包人的管理，第4条承包人，第5条设计</w:t>
      </w:r>
      <w:r>
        <w:rPr>
          <w:rFonts w:hint="eastAsia"/>
          <w:sz w:val="24"/>
          <w:szCs w:val="24"/>
          <w:lang w:eastAsia="zh-CN"/>
        </w:rPr>
        <w:t>，</w:t>
      </w:r>
      <w:r>
        <w:rPr>
          <w:sz w:val="24"/>
          <w:szCs w:val="24"/>
          <w:lang w:eastAsia="zh-CN"/>
        </w:rPr>
        <w:t>第6条材料、工程设备</w:t>
      </w:r>
      <w:r>
        <w:rPr>
          <w:rFonts w:hint="eastAsia"/>
          <w:sz w:val="24"/>
          <w:szCs w:val="24"/>
          <w:lang w:eastAsia="zh-CN"/>
        </w:rPr>
        <w:t>，</w:t>
      </w:r>
      <w:r>
        <w:rPr>
          <w:sz w:val="24"/>
          <w:szCs w:val="24"/>
          <w:lang w:eastAsia="zh-CN"/>
        </w:rPr>
        <w:t>第7条施工，第8条工期和进度，第9条竣工试验，第10条验收和工程接收，第11条缺陷责任与保修，第12条竣工后试验，第13条变更与调整，第14条合同价格与支付，第15条违约，第16条合同解除，第17条不可抗力</w:t>
      </w:r>
      <w:r>
        <w:rPr>
          <w:rFonts w:hint="eastAsia"/>
          <w:sz w:val="24"/>
          <w:szCs w:val="24"/>
          <w:lang w:eastAsia="zh-CN"/>
        </w:rPr>
        <w:t>，</w:t>
      </w:r>
      <w:r>
        <w:rPr>
          <w:sz w:val="24"/>
          <w:szCs w:val="24"/>
          <w:lang w:eastAsia="zh-CN"/>
        </w:rPr>
        <w:t>第18条保险，第19条索赔，第20条争议解决。前述条款安排既考虑了现行法律法规对工程总承包活动的有关要求，也考虑了工程总承包项目管理的实际需要</w:t>
      </w:r>
      <w:r>
        <w:rPr>
          <w:rFonts w:hint="eastAsia"/>
          <w:sz w:val="24"/>
          <w:szCs w:val="24"/>
          <w:lang w:eastAsia="zh-CN"/>
        </w:rPr>
        <w:t>。</w:t>
      </w:r>
    </w:p>
    <w:p w14:paraId="5CDFA19E">
      <w:pPr>
        <w:rPr>
          <w:sz w:val="24"/>
          <w:szCs w:val="24"/>
          <w:lang w:eastAsia="zh-CN"/>
        </w:rPr>
      </w:pPr>
      <w:r>
        <w:rPr>
          <w:sz w:val="24"/>
          <w:szCs w:val="24"/>
          <w:lang w:eastAsia="zh-CN"/>
        </w:rPr>
        <w:t>（三）专用合同条件</w:t>
      </w:r>
    </w:p>
    <w:p w14:paraId="0A481D1E">
      <w:pPr>
        <w:ind w:firstLine="480" w:firstLineChars="200"/>
        <w:rPr>
          <w:sz w:val="24"/>
          <w:szCs w:val="24"/>
          <w:lang w:eastAsia="zh-CN"/>
        </w:rPr>
      </w:pPr>
      <w:r>
        <w:rPr>
          <w:sz w:val="24"/>
          <w:szCs w:val="24"/>
          <w:lang w:eastAsia="zh-CN"/>
        </w:rPr>
        <w:t>专用合同条件是合同当事人根据不同建设项目的特点及具体情况，通过双方的谈判</w:t>
      </w:r>
      <w:r>
        <w:rPr>
          <w:rFonts w:hint="eastAsia"/>
          <w:sz w:val="24"/>
          <w:szCs w:val="24"/>
          <w:lang w:eastAsia="zh-CN"/>
        </w:rPr>
        <w:t>、</w:t>
      </w:r>
      <w:r>
        <w:rPr>
          <w:sz w:val="24"/>
          <w:szCs w:val="24"/>
          <w:lang w:eastAsia="zh-CN"/>
        </w:rPr>
        <w:t>协商对通用合同条件原则性约定细化、完善、补充、修改或另行约定的合同条件。在编写专用合同条件时，应注意以下事项：</w:t>
      </w:r>
    </w:p>
    <w:p w14:paraId="0B91BEE6">
      <w:pPr>
        <w:ind w:firstLine="480" w:firstLineChars="200"/>
        <w:rPr>
          <w:sz w:val="24"/>
          <w:szCs w:val="24"/>
          <w:lang w:eastAsia="zh-CN"/>
        </w:rPr>
      </w:pPr>
      <w:r>
        <w:rPr>
          <w:sz w:val="24"/>
          <w:szCs w:val="24"/>
          <w:lang w:eastAsia="zh-CN"/>
        </w:rPr>
        <w:t>1.专用合同条件的编号应与相应的通用合同条件的编号一致；</w:t>
      </w:r>
    </w:p>
    <w:p w14:paraId="71553D77">
      <w:pPr>
        <w:ind w:firstLine="480" w:firstLineChars="200"/>
        <w:rPr>
          <w:sz w:val="24"/>
          <w:szCs w:val="24"/>
          <w:lang w:eastAsia="zh-CN"/>
        </w:rPr>
      </w:pPr>
      <w:r>
        <w:rPr>
          <w:sz w:val="24"/>
          <w:szCs w:val="24"/>
          <w:lang w:eastAsia="zh-CN"/>
        </w:rPr>
        <w:t>2.在专用合同条件中有横道线的地方，合同当事人可针对相应的通用合同条件进行细化、完善、补充、修改或另行约定；如无细化、完善、补充、修改或另行约定，则填写“无”或划“/”；</w:t>
      </w:r>
    </w:p>
    <w:p w14:paraId="6E23FC1C">
      <w:pPr>
        <w:ind w:firstLine="480" w:firstLineChars="200"/>
        <w:rPr>
          <w:sz w:val="24"/>
          <w:szCs w:val="24"/>
          <w:lang w:eastAsia="zh-CN"/>
        </w:rPr>
      </w:pPr>
      <w:r>
        <w:rPr>
          <w:sz w:val="24"/>
          <w:szCs w:val="24"/>
          <w:lang w:eastAsia="zh-CN"/>
        </w:rPr>
        <w:t>3.对于在专用合同条件中未列出的通用合同条件中的条款，合同当事人根据建设项目的具体情况认为需要进行细化、完善、补充、修改或另行约定的，可在专用合同条件中，以同一条款号增加相关条款的内容。</w:t>
      </w:r>
    </w:p>
    <w:p w14:paraId="758B9E01">
      <w:pPr>
        <w:rPr>
          <w:sz w:val="24"/>
          <w:szCs w:val="24"/>
          <w:lang w:eastAsia="zh-CN"/>
        </w:rPr>
      </w:pPr>
      <w:r>
        <w:rPr>
          <w:sz w:val="24"/>
          <w:szCs w:val="24"/>
          <w:lang w:eastAsia="zh-CN"/>
        </w:rPr>
        <w:t>二、《示范文本》的适用范围</w:t>
      </w:r>
    </w:p>
    <w:p w14:paraId="0839727F">
      <w:pPr>
        <w:ind w:firstLine="480" w:firstLineChars="200"/>
        <w:rPr>
          <w:sz w:val="24"/>
          <w:szCs w:val="24"/>
          <w:lang w:eastAsia="zh-CN"/>
        </w:rPr>
      </w:pPr>
      <w:r>
        <w:rPr>
          <w:sz w:val="24"/>
          <w:szCs w:val="24"/>
          <w:lang w:eastAsia="zh-CN"/>
        </w:rPr>
        <w:t>《示范文本》适用于房屋建筑和市政基础设施项目工程总承包承发包活动。</w:t>
      </w:r>
    </w:p>
    <w:p w14:paraId="1EEA156E">
      <w:pPr>
        <w:rPr>
          <w:sz w:val="24"/>
          <w:szCs w:val="24"/>
          <w:lang w:eastAsia="zh-CN"/>
        </w:rPr>
      </w:pPr>
      <w:r>
        <w:rPr>
          <w:sz w:val="24"/>
          <w:szCs w:val="24"/>
          <w:lang w:eastAsia="zh-CN"/>
        </w:rPr>
        <w:t>三、《示范文本》的性质</w:t>
      </w:r>
    </w:p>
    <w:p w14:paraId="1544E5A5">
      <w:pPr>
        <w:ind w:firstLine="480" w:firstLineChars="200"/>
        <w:rPr>
          <w:sz w:val="24"/>
          <w:szCs w:val="24"/>
          <w:lang w:eastAsia="zh-CN"/>
        </w:rPr>
      </w:pPr>
      <w:r>
        <w:rPr>
          <w:sz w:val="24"/>
          <w:szCs w:val="24"/>
          <w:lang w:eastAsia="zh-CN"/>
        </w:rPr>
        <w:t>《示范文本》为推荐使用的非强制性使用文本。合同当事人可结合建设工程具体情况，参照《示范文本》订立合同，并按照法律法规和合同约定承担相应的法律责任及合同权利义务。</w:t>
      </w:r>
    </w:p>
    <w:p w14:paraId="0F2AA5C3">
      <w:pPr>
        <w:ind w:firstLine="480" w:firstLineChars="200"/>
        <w:rPr>
          <w:sz w:val="24"/>
          <w:szCs w:val="24"/>
          <w:lang w:eastAsia="zh-CN"/>
        </w:rPr>
        <w:sectPr>
          <w:footerReference r:id="rId9" w:type="default"/>
          <w:pgSz w:w="11907" w:h="16839"/>
          <w:pgMar w:top="1172" w:right="1688" w:bottom="1348" w:left="1777" w:header="567" w:footer="850" w:gutter="0"/>
          <w:cols w:space="720" w:num="1"/>
        </w:sectPr>
      </w:pPr>
    </w:p>
    <w:p w14:paraId="7225F3DE">
      <w:pPr>
        <w:spacing w:before="358" w:line="223" w:lineRule="auto"/>
        <w:ind w:left="2116"/>
        <w:outlineLvl w:val="1"/>
        <w:rPr>
          <w:rFonts w:hint="eastAsia" w:ascii="宋体" w:hAnsi="宋体" w:eastAsia="宋体" w:cs="宋体"/>
          <w:sz w:val="43"/>
          <w:szCs w:val="43"/>
          <w:lang w:eastAsia="zh-CN"/>
        </w:rPr>
      </w:pPr>
      <w:r>
        <w:rPr>
          <w:rFonts w:ascii="宋体" w:hAnsi="宋体" w:eastAsia="宋体" w:cs="宋体"/>
          <w:spacing w:val="7"/>
          <w:sz w:val="43"/>
          <w:szCs w:val="43"/>
          <w:lang w:eastAsia="zh-CN"/>
        </w:rPr>
        <w:t>第一部分合同协议书</w:t>
      </w:r>
    </w:p>
    <w:p w14:paraId="3509772C">
      <w:pPr>
        <w:pStyle w:val="3"/>
        <w:spacing w:line="407" w:lineRule="auto"/>
        <w:rPr>
          <w:lang w:eastAsia="zh-CN"/>
        </w:rPr>
      </w:pPr>
    </w:p>
    <w:p w14:paraId="472D9FA3">
      <w:pPr>
        <w:spacing w:before="78" w:line="220" w:lineRule="auto"/>
        <w:ind w:left="482"/>
        <w:rPr>
          <w:rFonts w:hint="eastAsia" w:ascii="宋体" w:hAnsi="宋体" w:eastAsia="宋体" w:cs="宋体"/>
          <w:sz w:val="24"/>
          <w:szCs w:val="24"/>
          <w:lang w:eastAsia="zh-CN"/>
        </w:rPr>
      </w:pPr>
      <w:r>
        <w:rPr>
          <w:rFonts w:ascii="宋体" w:hAnsi="宋体" w:eastAsia="宋体" w:cs="宋体"/>
          <w:spacing w:val="-2"/>
          <w:sz w:val="24"/>
          <w:szCs w:val="24"/>
          <w:lang w:eastAsia="zh-CN"/>
        </w:rPr>
        <w:t>发包人（全称</w:t>
      </w:r>
      <w:r>
        <w:rPr>
          <w:rFonts w:ascii="宋体" w:hAnsi="宋体" w:eastAsia="宋体" w:cs="宋体"/>
          <w:spacing w:val="-1"/>
          <w:sz w:val="24"/>
          <w:szCs w:val="24"/>
          <w:lang w:eastAsia="zh-CN"/>
        </w:rPr>
        <w:t>）：</w:t>
      </w:r>
    </w:p>
    <w:p w14:paraId="3C520316">
      <w:pPr>
        <w:spacing w:before="178" w:line="220" w:lineRule="auto"/>
        <w:ind w:left="478"/>
        <w:rPr>
          <w:rFonts w:hint="eastAsia" w:ascii="宋体" w:hAnsi="宋体" w:eastAsia="宋体" w:cs="宋体"/>
          <w:sz w:val="24"/>
          <w:szCs w:val="24"/>
          <w:lang w:eastAsia="zh-CN"/>
        </w:rPr>
      </w:pPr>
      <w:r>
        <w:rPr>
          <w:rFonts w:ascii="宋体" w:hAnsi="宋体" w:eastAsia="宋体" w:cs="宋体"/>
          <w:spacing w:val="-2"/>
          <w:sz w:val="24"/>
          <w:szCs w:val="24"/>
          <w:lang w:eastAsia="zh-CN"/>
        </w:rPr>
        <w:t>承包人（全称</w:t>
      </w:r>
      <w:r>
        <w:rPr>
          <w:rFonts w:ascii="宋体" w:hAnsi="宋体" w:eastAsia="宋体" w:cs="宋体"/>
          <w:spacing w:val="1"/>
          <w:sz w:val="24"/>
          <w:szCs w:val="24"/>
          <w:lang w:eastAsia="zh-CN"/>
        </w:rPr>
        <w:t>）：</w:t>
      </w:r>
    </w:p>
    <w:p w14:paraId="314D38C9">
      <w:pPr>
        <w:spacing w:before="181" w:line="359" w:lineRule="auto"/>
        <w:ind w:left="4" w:right="59" w:firstLine="474"/>
        <w:rPr>
          <w:rFonts w:hint="eastAsia" w:ascii="宋体" w:hAnsi="宋体" w:eastAsia="宋体" w:cs="宋体"/>
          <w:sz w:val="24"/>
          <w:szCs w:val="24"/>
          <w:lang w:eastAsia="zh-CN"/>
        </w:rPr>
      </w:pPr>
      <w:r>
        <w:rPr>
          <w:rFonts w:ascii="宋体" w:hAnsi="宋体" w:eastAsia="宋体" w:cs="宋体"/>
          <w:spacing w:val="-1"/>
          <w:sz w:val="24"/>
          <w:szCs w:val="24"/>
          <w:lang w:eastAsia="zh-CN"/>
        </w:rPr>
        <w:t>根据《中华人民共和国民法典》、《中华人民共</w:t>
      </w:r>
      <w:r>
        <w:rPr>
          <w:rFonts w:ascii="宋体" w:hAnsi="宋体" w:eastAsia="宋体" w:cs="宋体"/>
          <w:spacing w:val="-2"/>
          <w:sz w:val="24"/>
          <w:szCs w:val="24"/>
          <w:lang w:eastAsia="zh-CN"/>
        </w:rPr>
        <w:t>和国建筑法》及有关法律规</w:t>
      </w:r>
      <w:r>
        <w:rPr>
          <w:rFonts w:ascii="宋体" w:hAnsi="宋体" w:eastAsia="宋体" w:cs="宋体"/>
          <w:spacing w:val="-8"/>
          <w:sz w:val="24"/>
          <w:szCs w:val="24"/>
          <w:lang w:eastAsia="zh-CN"/>
        </w:rPr>
        <w:t>定，遵循平等、自愿、公平和诚实信用的原则，双方就</w:t>
      </w:r>
      <w:r>
        <w:rPr>
          <w:rFonts w:ascii="宋体" w:hAnsi="宋体" w:eastAsia="宋体" w:cs="宋体"/>
          <w:spacing w:val="-9"/>
          <w:sz w:val="24"/>
          <w:szCs w:val="24"/>
          <w:lang w:eastAsia="zh-CN"/>
        </w:rPr>
        <w:t>项目的工程</w:t>
      </w:r>
      <w:r>
        <w:rPr>
          <w:rFonts w:ascii="宋体" w:hAnsi="宋体" w:eastAsia="宋体" w:cs="宋体"/>
          <w:spacing w:val="-3"/>
          <w:sz w:val="24"/>
          <w:szCs w:val="24"/>
          <w:lang w:eastAsia="zh-CN"/>
        </w:rPr>
        <w:t>总承包及有关事项协商一致，共同达成如下协议：</w:t>
      </w:r>
    </w:p>
    <w:p w14:paraId="7A885008">
      <w:pPr>
        <w:spacing w:line="218" w:lineRule="auto"/>
        <w:ind w:left="482"/>
        <w:outlineLvl w:val="2"/>
        <w:rPr>
          <w:rFonts w:hint="eastAsia" w:ascii="黑体" w:hAnsi="黑体" w:eastAsia="黑体" w:cs="黑体"/>
          <w:sz w:val="24"/>
          <w:szCs w:val="24"/>
          <w:lang w:eastAsia="zh-CN"/>
        </w:rPr>
      </w:pPr>
      <w:r>
        <w:rPr>
          <w:rFonts w:ascii="黑体" w:hAnsi="黑体" w:eastAsia="黑体" w:cs="黑体"/>
          <w:spacing w:val="-4"/>
          <w:sz w:val="24"/>
          <w:szCs w:val="24"/>
          <w:lang w:eastAsia="zh-CN"/>
        </w:rPr>
        <w:t>一、工程概况</w:t>
      </w:r>
    </w:p>
    <w:p w14:paraId="5A733B04">
      <w:pPr>
        <w:spacing w:before="185" w:line="234" w:lineRule="auto"/>
        <w:ind w:left="497"/>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w:t>
      </w:r>
      <w:r>
        <w:rPr>
          <w:rFonts w:ascii="宋体" w:hAnsi="宋体" w:eastAsia="宋体" w:cs="宋体"/>
          <w:spacing w:val="-4"/>
          <w:sz w:val="24"/>
          <w:szCs w:val="24"/>
          <w:lang w:eastAsia="zh-CN"/>
        </w:rPr>
        <w:t>工程名称：</w:t>
      </w:r>
      <w:r>
        <w:rPr>
          <w:rFonts w:ascii="宋体" w:hAnsi="宋体" w:eastAsia="宋体" w:cs="宋体"/>
          <w:spacing w:val="-4"/>
          <w:sz w:val="24"/>
          <w:szCs w:val="24"/>
          <w:u w:val="single"/>
          <w:lang w:eastAsia="zh-CN"/>
        </w:rPr>
        <w:t>。</w:t>
      </w:r>
    </w:p>
    <w:p w14:paraId="11ABE8E4">
      <w:pPr>
        <w:spacing w:before="164" w:line="234" w:lineRule="auto"/>
        <w:ind w:left="474"/>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工程地点：</w:t>
      </w:r>
      <w:r>
        <w:rPr>
          <w:rFonts w:ascii="宋体" w:hAnsi="宋体" w:eastAsia="宋体" w:cs="宋体"/>
          <w:sz w:val="24"/>
          <w:szCs w:val="24"/>
          <w:u w:val="single"/>
          <w:lang w:eastAsia="zh-CN"/>
        </w:rPr>
        <w:t>。</w:t>
      </w:r>
    </w:p>
    <w:p w14:paraId="0B121D8A">
      <w:pPr>
        <w:spacing w:before="161" w:line="234" w:lineRule="auto"/>
        <w:ind w:left="47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工程审批、核准或备案文号：</w:t>
      </w:r>
      <w:r>
        <w:rPr>
          <w:rFonts w:ascii="宋体" w:hAnsi="宋体" w:eastAsia="宋体" w:cs="宋体"/>
          <w:sz w:val="24"/>
          <w:szCs w:val="24"/>
          <w:u w:val="single"/>
          <w:lang w:eastAsia="zh-CN"/>
        </w:rPr>
        <w:t>。</w:t>
      </w:r>
    </w:p>
    <w:p w14:paraId="5103FF23">
      <w:pPr>
        <w:spacing w:before="164" w:line="233" w:lineRule="auto"/>
        <w:ind w:left="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资金来源：</w:t>
      </w:r>
      <w:r>
        <w:rPr>
          <w:rFonts w:ascii="宋体" w:hAnsi="宋体" w:eastAsia="宋体" w:cs="宋体"/>
          <w:sz w:val="24"/>
          <w:szCs w:val="24"/>
          <w:u w:val="single"/>
          <w:lang w:eastAsia="zh-CN"/>
        </w:rPr>
        <w:t>。</w:t>
      </w:r>
    </w:p>
    <w:p w14:paraId="215FD0E9">
      <w:pPr>
        <w:spacing w:before="163" w:line="233" w:lineRule="auto"/>
        <w:ind w:left="481"/>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5.</w:t>
      </w:r>
      <w:r>
        <w:rPr>
          <w:rFonts w:ascii="宋体" w:hAnsi="宋体" w:eastAsia="宋体" w:cs="宋体"/>
          <w:spacing w:val="1"/>
          <w:sz w:val="24"/>
          <w:szCs w:val="24"/>
          <w:lang w:eastAsia="zh-CN"/>
        </w:rPr>
        <w:t>工程内容及规模：</w:t>
      </w:r>
      <w:r>
        <w:rPr>
          <w:rFonts w:ascii="宋体" w:hAnsi="宋体" w:eastAsia="宋体" w:cs="宋体"/>
          <w:sz w:val="24"/>
          <w:szCs w:val="24"/>
          <w:u w:val="single"/>
          <w:lang w:eastAsia="zh-CN"/>
        </w:rPr>
        <w:t>。</w:t>
      </w:r>
    </w:p>
    <w:p w14:paraId="73DE4366">
      <w:pPr>
        <w:spacing w:before="165" w:line="233" w:lineRule="auto"/>
        <w:ind w:left="47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6.</w:t>
      </w:r>
      <w:r>
        <w:rPr>
          <w:rFonts w:ascii="宋体" w:hAnsi="宋体" w:eastAsia="宋体" w:cs="宋体"/>
          <w:spacing w:val="1"/>
          <w:sz w:val="24"/>
          <w:szCs w:val="24"/>
          <w:lang w:eastAsia="zh-CN"/>
        </w:rPr>
        <w:t>工程承包范围：</w:t>
      </w:r>
      <w:r>
        <w:rPr>
          <w:rFonts w:ascii="宋体" w:hAnsi="宋体" w:eastAsia="宋体" w:cs="宋体"/>
          <w:sz w:val="24"/>
          <w:szCs w:val="24"/>
          <w:u w:val="single"/>
          <w:lang w:eastAsia="zh-CN"/>
        </w:rPr>
        <w:t>。</w:t>
      </w:r>
    </w:p>
    <w:p w14:paraId="30CC8835">
      <w:pPr>
        <w:spacing w:before="163" w:line="220" w:lineRule="auto"/>
        <w:ind w:left="482"/>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二、合同工期</w:t>
      </w:r>
    </w:p>
    <w:p w14:paraId="31921F50">
      <w:pPr>
        <w:spacing w:before="181" w:line="220" w:lineRule="auto"/>
        <w:ind w:left="478"/>
        <w:rPr>
          <w:rFonts w:hint="eastAsia" w:ascii="宋体" w:hAnsi="宋体" w:eastAsia="宋体" w:cs="宋体"/>
          <w:sz w:val="24"/>
          <w:szCs w:val="24"/>
          <w:lang w:eastAsia="zh-CN"/>
        </w:rPr>
      </w:pPr>
      <w:r>
        <w:rPr>
          <w:rFonts w:ascii="宋体" w:hAnsi="宋体" w:eastAsia="宋体" w:cs="宋体"/>
          <w:spacing w:val="-3"/>
          <w:sz w:val="24"/>
          <w:szCs w:val="24"/>
          <w:lang w:eastAsia="zh-CN"/>
        </w:rPr>
        <w:t>计划开始工作日期：年月</w:t>
      </w:r>
      <w:r>
        <w:rPr>
          <w:rFonts w:ascii="宋体" w:hAnsi="宋体" w:eastAsia="宋体" w:cs="宋体"/>
          <w:spacing w:val="-4"/>
          <w:sz w:val="24"/>
          <w:szCs w:val="24"/>
          <w:lang w:eastAsia="zh-CN"/>
        </w:rPr>
        <w:t>日。</w:t>
      </w:r>
    </w:p>
    <w:p w14:paraId="4DC81388">
      <w:pPr>
        <w:spacing w:before="181" w:line="359" w:lineRule="auto"/>
        <w:ind w:left="251" w:right="59" w:firstLine="198"/>
        <w:rPr>
          <w:rFonts w:hint="eastAsia" w:ascii="宋体" w:hAnsi="宋体" w:eastAsia="宋体" w:cs="宋体"/>
          <w:sz w:val="24"/>
          <w:szCs w:val="24"/>
          <w:lang w:eastAsia="zh-CN"/>
        </w:rPr>
      </w:pPr>
      <w:r>
        <w:rPr>
          <w:rFonts w:ascii="宋体" w:hAnsi="宋体" w:eastAsia="宋体" w:cs="宋体"/>
          <w:spacing w:val="-10"/>
          <w:sz w:val="24"/>
          <w:szCs w:val="24"/>
          <w:lang w:eastAsia="zh-CN"/>
        </w:rPr>
        <w:t>计划开始现场施工日期：年月日。计划竣工日期：年月</w:t>
      </w:r>
      <w:r>
        <w:rPr>
          <w:rFonts w:ascii="宋体" w:hAnsi="宋体" w:eastAsia="宋体" w:cs="宋体"/>
          <w:spacing w:val="-22"/>
          <w:sz w:val="24"/>
          <w:szCs w:val="24"/>
          <w:lang w:eastAsia="zh-CN"/>
        </w:rPr>
        <w:t>日。</w:t>
      </w:r>
    </w:p>
    <w:p w14:paraId="0FA22F96">
      <w:pPr>
        <w:spacing w:line="359" w:lineRule="auto"/>
        <w:ind w:left="18" w:right="63" w:firstLine="463"/>
        <w:rPr>
          <w:rFonts w:hint="eastAsia" w:ascii="宋体" w:hAnsi="宋体" w:eastAsia="宋体" w:cs="宋体"/>
          <w:sz w:val="24"/>
          <w:szCs w:val="24"/>
          <w:lang w:eastAsia="zh-CN"/>
        </w:rPr>
      </w:pPr>
      <w:r>
        <w:rPr>
          <w:rFonts w:ascii="宋体" w:hAnsi="宋体" w:eastAsia="宋体" w:cs="宋体"/>
          <w:spacing w:val="2"/>
          <w:sz w:val="24"/>
          <w:szCs w:val="24"/>
          <w:lang w:eastAsia="zh-CN"/>
        </w:rPr>
        <w:t>工期总日历天数：天，工期总日历天数与根据前述计划日期计算</w:t>
      </w:r>
      <w:r>
        <w:rPr>
          <w:rFonts w:ascii="宋体" w:hAnsi="宋体" w:eastAsia="宋体" w:cs="宋体"/>
          <w:spacing w:val="-3"/>
          <w:sz w:val="24"/>
          <w:szCs w:val="24"/>
          <w:lang w:eastAsia="zh-CN"/>
        </w:rPr>
        <w:t>的工期天数不一致的，以工期总日历天数为准。</w:t>
      </w:r>
    </w:p>
    <w:p w14:paraId="5C08458A">
      <w:pPr>
        <w:spacing w:line="219" w:lineRule="auto"/>
        <w:ind w:left="483"/>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三、质量标准</w:t>
      </w:r>
    </w:p>
    <w:p w14:paraId="446093E0">
      <w:pPr>
        <w:spacing w:line="359" w:lineRule="auto"/>
        <w:ind w:left="18" w:right="63" w:firstLine="463"/>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工程质量标准：合格。</w:t>
      </w:r>
    </w:p>
    <w:p w14:paraId="4815E2EC">
      <w:pPr>
        <w:ind w:left="17" w:right="62" w:firstLine="46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设计质量标准：严格遵守限额设计的原则，满足招标人需求,符合现行相应行业最新的设计规范。施工图涉及各类专项设计均须通过业主和相关部门审查，各阶段成果达到并符合国家规定的工程设计文件编制深度规定的要求。</w:t>
      </w:r>
    </w:p>
    <w:p w14:paraId="0AAF5CD1">
      <w:pPr>
        <w:ind w:left="17" w:right="62" w:firstLine="46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施工质量标准：</w:t>
      </w:r>
      <w:r>
        <w:rPr>
          <w:rFonts w:hint="eastAsia" w:ascii="宋体" w:hAnsi="宋体" w:eastAsia="宋体" w:cs="宋体"/>
          <w:color w:val="auto"/>
          <w:spacing w:val="2"/>
          <w:sz w:val="24"/>
          <w:szCs w:val="24"/>
          <w:lang w:eastAsia="zh-CN"/>
        </w:rPr>
        <w:t>满足国家及地方的相关法律法规以及相关规范要求；达到环保验收及绩效考核标准要求。</w:t>
      </w:r>
    </w:p>
    <w:p w14:paraId="048872AE">
      <w:pPr>
        <w:spacing w:before="182" w:line="219" w:lineRule="auto"/>
        <w:ind w:left="493"/>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四、签约合同价与合同价格形式</w:t>
      </w:r>
    </w:p>
    <w:p w14:paraId="01A42BE5">
      <w:pPr>
        <w:spacing w:before="183" w:line="232"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签约合同价（含税</w:t>
      </w:r>
      <w:r>
        <w:rPr>
          <w:rFonts w:ascii="宋体" w:hAnsi="宋体" w:eastAsia="宋体" w:cs="宋体"/>
          <w:spacing w:val="8"/>
          <w:sz w:val="24"/>
          <w:szCs w:val="24"/>
          <w:lang w:eastAsia="zh-CN"/>
        </w:rPr>
        <w:t>）（</w:t>
      </w:r>
      <w:r>
        <w:rPr>
          <w:rFonts w:ascii="宋体" w:hAnsi="宋体" w:eastAsia="宋体" w:cs="宋体"/>
          <w:spacing w:val="-3"/>
          <w:sz w:val="24"/>
          <w:szCs w:val="24"/>
          <w:lang w:eastAsia="zh-CN"/>
        </w:rPr>
        <w:t>根据费率换算后）为：</w:t>
      </w:r>
    </w:p>
    <w:p w14:paraId="1234A9E4">
      <w:pPr>
        <w:spacing w:before="48" w:line="219" w:lineRule="auto"/>
        <w:ind w:left="482"/>
        <w:rPr>
          <w:rFonts w:hint="eastAsia" w:ascii="宋体" w:hAnsi="宋体" w:eastAsia="宋体" w:cs="宋体"/>
          <w:sz w:val="24"/>
          <w:szCs w:val="24"/>
          <w:lang w:eastAsia="zh-CN"/>
        </w:rPr>
      </w:pPr>
      <w:r>
        <w:rPr>
          <w:rFonts w:ascii="宋体" w:hAnsi="宋体" w:eastAsia="宋体" w:cs="宋体"/>
          <w:spacing w:val="3"/>
          <w:sz w:val="24"/>
          <w:szCs w:val="24"/>
          <w:lang w:eastAsia="zh-CN"/>
        </w:rPr>
        <w:t>人民币（大写）(</w:t>
      </w:r>
      <w:r>
        <w:rPr>
          <w:rFonts w:ascii="Times New Roman" w:hAnsi="Times New Roman" w:eastAsia="Times New Roman" w:cs="Times New Roman"/>
          <w:spacing w:val="3"/>
          <w:sz w:val="24"/>
          <w:szCs w:val="24"/>
          <w:lang w:eastAsia="zh-CN"/>
        </w:rPr>
        <w:t>¥</w:t>
      </w:r>
      <w:r>
        <w:rPr>
          <w:position w:val="-3"/>
          <w:sz w:val="24"/>
          <w:szCs w:val="24"/>
        </w:rPr>
        <w:drawing>
          <wp:inline distT="0" distB="0" distL="0" distR="0">
            <wp:extent cx="64325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643737" cy="7619"/>
                    </a:xfrm>
                    <a:prstGeom prst="rect">
                      <a:avLst/>
                    </a:prstGeom>
                  </pic:spPr>
                </pic:pic>
              </a:graphicData>
            </a:graphic>
          </wp:inline>
        </w:drawing>
      </w:r>
      <w:r>
        <w:rPr>
          <w:rFonts w:ascii="宋体" w:hAnsi="宋体" w:eastAsia="宋体" w:cs="宋体"/>
          <w:spacing w:val="3"/>
          <w:sz w:val="24"/>
          <w:szCs w:val="24"/>
          <w:lang w:eastAsia="zh-CN"/>
        </w:rPr>
        <w:t>元）</w:t>
      </w:r>
    </w:p>
    <w:p w14:paraId="09663E10">
      <w:pPr>
        <w:spacing w:before="184" w:line="218" w:lineRule="auto"/>
        <w:ind w:left="485"/>
        <w:rPr>
          <w:rFonts w:hint="eastAsia" w:ascii="宋体" w:hAnsi="宋体" w:eastAsia="宋体" w:cs="宋体"/>
          <w:sz w:val="24"/>
          <w:szCs w:val="24"/>
          <w:lang w:eastAsia="zh-CN"/>
        </w:rPr>
      </w:pPr>
      <w:r>
        <w:rPr>
          <w:rFonts w:ascii="宋体" w:hAnsi="宋体" w:eastAsia="宋体" w:cs="宋体"/>
          <w:spacing w:val="-5"/>
          <w:sz w:val="24"/>
          <w:szCs w:val="24"/>
          <w:lang w:eastAsia="zh-CN"/>
        </w:rPr>
        <w:t>具体构成详见价格清单。其中：</w:t>
      </w:r>
    </w:p>
    <w:p w14:paraId="3267AD90">
      <w:pPr>
        <w:spacing w:before="182" w:line="233" w:lineRule="auto"/>
        <w:ind w:left="487"/>
        <w:rPr>
          <w:rFonts w:hint="eastAsia" w:ascii="宋体" w:hAnsi="宋体" w:eastAsia="宋体" w:cs="宋体"/>
          <w:sz w:val="24"/>
          <w:szCs w:val="24"/>
          <w:lang w:eastAsia="zh-CN"/>
        </w:rPr>
      </w:pP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1</w:t>
      </w:r>
      <w:r>
        <w:rPr>
          <w:rFonts w:ascii="宋体" w:hAnsi="宋体" w:eastAsia="宋体" w:cs="宋体"/>
          <w:spacing w:val="-7"/>
          <w:sz w:val="24"/>
          <w:szCs w:val="24"/>
          <w:lang w:eastAsia="zh-CN"/>
        </w:rPr>
        <w:t>）设计费（含税</w:t>
      </w:r>
      <w:r>
        <w:rPr>
          <w:rFonts w:ascii="宋体" w:hAnsi="宋体" w:eastAsia="宋体" w:cs="宋体"/>
          <w:spacing w:val="-2"/>
          <w:sz w:val="24"/>
          <w:szCs w:val="24"/>
          <w:lang w:eastAsia="zh-CN"/>
        </w:rPr>
        <w:t>）：</w:t>
      </w:r>
    </w:p>
    <w:p w14:paraId="4E7A42EB">
      <w:pPr>
        <w:spacing w:before="164" w:line="359" w:lineRule="auto"/>
        <w:ind w:right="4" w:firstLine="482"/>
        <w:rPr>
          <w:rFonts w:hint="eastAsia" w:ascii="宋体" w:hAnsi="宋体" w:eastAsia="宋体" w:cs="宋体"/>
          <w:sz w:val="24"/>
          <w:szCs w:val="24"/>
          <w:lang w:eastAsia="zh-CN"/>
        </w:rPr>
      </w:pPr>
      <w:r>
        <w:rPr>
          <w:rFonts w:ascii="宋体" w:hAnsi="宋体" w:eastAsia="宋体" w:cs="宋体"/>
          <w:sz w:val="24"/>
          <w:szCs w:val="24"/>
          <w:lang w:eastAsia="zh-CN"/>
        </w:rPr>
        <w:t>人民币（大写）(</w:t>
      </w:r>
      <w:r>
        <w:rPr>
          <w:rFonts w:ascii="Times New Roman" w:hAnsi="Times New Roman" w:eastAsia="Times New Roman" w:cs="Times New Roman"/>
          <w:sz w:val="24"/>
          <w:szCs w:val="24"/>
          <w:lang w:eastAsia="zh-CN"/>
        </w:rPr>
        <w:t>¥</w:t>
      </w:r>
      <w:r>
        <w:rPr>
          <w:position w:val="-3"/>
          <w:sz w:val="24"/>
          <w:szCs w:val="24"/>
        </w:rPr>
        <w:drawing>
          <wp:inline distT="0" distB="0" distL="0" distR="0">
            <wp:extent cx="96647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
                    <a:stretch>
                      <a:fillRect/>
                    </a:stretch>
                  </pic:blipFill>
                  <pic:spPr>
                    <a:xfrm>
                      <a:off x="0" y="0"/>
                      <a:ext cx="966520" cy="7620"/>
                    </a:xfrm>
                    <a:prstGeom prst="rect">
                      <a:avLst/>
                    </a:prstGeom>
                  </pic:spPr>
                </pic:pic>
              </a:graphicData>
            </a:graphic>
          </wp:inline>
        </w:drawing>
      </w:r>
      <w:r>
        <w:rPr>
          <w:rFonts w:ascii="宋体" w:hAnsi="宋体" w:eastAsia="宋体" w:cs="宋体"/>
          <w:sz w:val="24"/>
          <w:szCs w:val="24"/>
          <w:lang w:eastAsia="zh-CN"/>
        </w:rPr>
        <w:t>元）；适用税率：</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，税金为人民币（大写）(</w:t>
      </w:r>
      <w:r>
        <w:rPr>
          <w:rFonts w:ascii="Times New Roman" w:hAnsi="Times New Roman" w:eastAsia="Times New Roman" w:cs="Times New Roman"/>
          <w:spacing w:val="2"/>
          <w:sz w:val="24"/>
          <w:szCs w:val="24"/>
          <w:lang w:eastAsia="zh-CN"/>
        </w:rPr>
        <w:t>¥</w:t>
      </w:r>
      <w:r>
        <w:rPr>
          <w:position w:val="-2"/>
          <w:sz w:val="24"/>
          <w:szCs w:val="24"/>
        </w:rPr>
        <w:drawing>
          <wp:inline distT="0" distB="0" distL="0" distR="0">
            <wp:extent cx="102425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1024432" cy="7620"/>
                    </a:xfrm>
                    <a:prstGeom prst="rect">
                      <a:avLst/>
                    </a:prstGeom>
                  </pic:spPr>
                </pic:pic>
              </a:graphicData>
            </a:graphic>
          </wp:inline>
        </w:drawing>
      </w:r>
      <w:r>
        <w:rPr>
          <w:rFonts w:ascii="宋体" w:hAnsi="宋体" w:eastAsia="宋体" w:cs="宋体"/>
          <w:spacing w:val="2"/>
          <w:sz w:val="24"/>
          <w:szCs w:val="24"/>
          <w:lang w:eastAsia="zh-CN"/>
        </w:rPr>
        <w:t>元</w:t>
      </w:r>
      <w:r>
        <w:rPr>
          <w:rFonts w:ascii="宋体" w:hAnsi="宋体" w:eastAsia="宋体" w:cs="宋体"/>
          <w:spacing w:val="-10"/>
          <w:sz w:val="24"/>
          <w:szCs w:val="24"/>
          <w:lang w:eastAsia="zh-CN"/>
        </w:rPr>
        <w:t>）；</w:t>
      </w:r>
    </w:p>
    <w:p w14:paraId="43660C26">
      <w:pPr>
        <w:spacing w:line="233" w:lineRule="auto"/>
        <w:ind w:left="487"/>
        <w:rPr>
          <w:rFonts w:hint="eastAsia" w:ascii="宋体" w:hAnsi="宋体" w:eastAsia="宋体" w:cs="宋体"/>
          <w:sz w:val="24"/>
          <w:szCs w:val="24"/>
          <w:lang w:eastAsia="zh-CN"/>
        </w:rPr>
      </w:pP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2</w:t>
      </w:r>
      <w:r>
        <w:rPr>
          <w:rFonts w:ascii="宋体" w:hAnsi="宋体" w:eastAsia="宋体" w:cs="宋体"/>
          <w:spacing w:val="-6"/>
          <w:sz w:val="24"/>
          <w:szCs w:val="24"/>
          <w:lang w:eastAsia="zh-CN"/>
        </w:rPr>
        <w:t>）设备购置费（含税</w:t>
      </w:r>
      <w:r>
        <w:rPr>
          <w:rFonts w:ascii="宋体" w:hAnsi="宋体" w:eastAsia="宋体" w:cs="宋体"/>
          <w:spacing w:val="-1"/>
          <w:sz w:val="24"/>
          <w:szCs w:val="24"/>
          <w:lang w:eastAsia="zh-CN"/>
        </w:rPr>
        <w:t>）：</w:t>
      </w:r>
    </w:p>
    <w:p w14:paraId="3CECD6A3">
      <w:pPr>
        <w:spacing w:before="162" w:line="352" w:lineRule="auto"/>
        <w:ind w:right="4" w:firstLine="482"/>
        <w:rPr>
          <w:rFonts w:hint="eastAsia" w:ascii="宋体" w:hAnsi="宋体" w:eastAsia="宋体" w:cs="宋体"/>
          <w:sz w:val="24"/>
          <w:szCs w:val="24"/>
          <w:lang w:eastAsia="zh-CN"/>
        </w:rPr>
      </w:pPr>
      <w:r>
        <w:rPr>
          <w:rFonts w:ascii="宋体" w:hAnsi="宋体" w:eastAsia="宋体" w:cs="宋体"/>
          <w:sz w:val="24"/>
          <w:szCs w:val="24"/>
          <w:lang w:eastAsia="zh-CN"/>
        </w:rPr>
        <w:t>人民币（大写）(</w:t>
      </w:r>
      <w:r>
        <w:rPr>
          <w:rFonts w:ascii="Times New Roman" w:hAnsi="Times New Roman" w:eastAsia="Times New Roman" w:cs="Times New Roman"/>
          <w:sz w:val="24"/>
          <w:szCs w:val="24"/>
          <w:lang w:eastAsia="zh-CN"/>
        </w:rPr>
        <w:t>¥</w:t>
      </w:r>
      <w:r>
        <w:rPr>
          <w:position w:val="-2"/>
          <w:sz w:val="24"/>
          <w:szCs w:val="24"/>
        </w:rPr>
        <w:drawing>
          <wp:inline distT="0" distB="0" distL="0" distR="0">
            <wp:extent cx="87376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873861" cy="7619"/>
                    </a:xfrm>
                    <a:prstGeom prst="rect">
                      <a:avLst/>
                    </a:prstGeom>
                  </pic:spPr>
                </pic:pic>
              </a:graphicData>
            </a:graphic>
          </wp:inline>
        </w:drawing>
      </w:r>
      <w:r>
        <w:rPr>
          <w:rFonts w:ascii="宋体" w:hAnsi="宋体" w:eastAsia="宋体" w:cs="宋体"/>
          <w:sz w:val="24"/>
          <w:szCs w:val="24"/>
          <w:lang w:eastAsia="zh-CN"/>
        </w:rPr>
        <w:t>元</w:t>
      </w:r>
      <w:r>
        <w:rPr>
          <w:rFonts w:ascii="宋体" w:hAnsi="宋体" w:eastAsia="宋体" w:cs="宋体"/>
          <w:spacing w:val="-2"/>
          <w:sz w:val="24"/>
          <w:szCs w:val="24"/>
          <w:lang w:eastAsia="zh-CN"/>
        </w:rPr>
        <w:t>）；</w:t>
      </w:r>
      <w:r>
        <w:rPr>
          <w:rFonts w:ascii="宋体" w:hAnsi="宋体" w:eastAsia="宋体" w:cs="宋体"/>
          <w:sz w:val="24"/>
          <w:szCs w:val="24"/>
          <w:lang w:eastAsia="zh-CN"/>
        </w:rPr>
        <w:t>适</w:t>
      </w:r>
      <w:r>
        <w:rPr>
          <w:rFonts w:ascii="宋体" w:hAnsi="宋体" w:eastAsia="宋体" w:cs="宋体"/>
          <w:spacing w:val="-1"/>
          <w:sz w:val="24"/>
          <w:szCs w:val="24"/>
          <w:lang w:eastAsia="zh-CN"/>
        </w:rPr>
        <w:t>用税率：</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税金为人民币（大写）(</w:t>
      </w:r>
      <w:r>
        <w:rPr>
          <w:rFonts w:ascii="Times New Roman" w:hAnsi="Times New Roman" w:eastAsia="Times New Roman" w:cs="Times New Roman"/>
          <w:spacing w:val="2"/>
          <w:sz w:val="24"/>
          <w:szCs w:val="24"/>
          <w:lang w:eastAsia="zh-CN"/>
        </w:rPr>
        <w:t>¥</w:t>
      </w:r>
      <w:r>
        <w:rPr>
          <w:position w:val="-3"/>
          <w:sz w:val="24"/>
          <w:szCs w:val="24"/>
        </w:rPr>
        <w:drawing>
          <wp:inline distT="0" distB="0" distL="0" distR="0">
            <wp:extent cx="79565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4"/>
                    <a:stretch>
                      <a:fillRect/>
                    </a:stretch>
                  </pic:blipFill>
                  <pic:spPr>
                    <a:xfrm>
                      <a:off x="0" y="0"/>
                      <a:ext cx="796137" cy="7620"/>
                    </a:xfrm>
                    <a:prstGeom prst="rect">
                      <a:avLst/>
                    </a:prstGeom>
                  </pic:spPr>
                </pic:pic>
              </a:graphicData>
            </a:graphic>
          </wp:inline>
        </w:drawing>
      </w:r>
      <w:r>
        <w:rPr>
          <w:rFonts w:ascii="宋体" w:hAnsi="宋体" w:eastAsia="宋体" w:cs="宋体"/>
          <w:spacing w:val="2"/>
          <w:sz w:val="24"/>
          <w:szCs w:val="24"/>
          <w:lang w:eastAsia="zh-CN"/>
        </w:rPr>
        <w:t>元</w:t>
      </w:r>
      <w:r>
        <w:rPr>
          <w:rFonts w:ascii="宋体" w:hAnsi="宋体" w:eastAsia="宋体" w:cs="宋体"/>
          <w:spacing w:val="-8"/>
          <w:sz w:val="24"/>
          <w:szCs w:val="24"/>
          <w:lang w:eastAsia="zh-CN"/>
        </w:rPr>
        <w:t>）；</w:t>
      </w:r>
    </w:p>
    <w:p w14:paraId="64F2F3F8">
      <w:pPr>
        <w:spacing w:before="22" w:line="233" w:lineRule="auto"/>
        <w:ind w:left="487"/>
        <w:rPr>
          <w:rFonts w:hint="eastAsia"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3</w:t>
      </w:r>
      <w:r>
        <w:rPr>
          <w:rFonts w:ascii="宋体" w:hAnsi="宋体" w:eastAsia="宋体" w:cs="宋体"/>
          <w:spacing w:val="-5"/>
          <w:sz w:val="24"/>
          <w:szCs w:val="24"/>
          <w:lang w:eastAsia="zh-CN"/>
        </w:rPr>
        <w:t>）建筑安装工程费（含税</w:t>
      </w:r>
      <w:r>
        <w:rPr>
          <w:rFonts w:ascii="宋体" w:hAnsi="宋体" w:eastAsia="宋体" w:cs="宋体"/>
          <w:spacing w:val="-2"/>
          <w:sz w:val="24"/>
          <w:szCs w:val="24"/>
          <w:lang w:eastAsia="zh-CN"/>
        </w:rPr>
        <w:t>）：</w:t>
      </w:r>
    </w:p>
    <w:p w14:paraId="5786593E">
      <w:pPr>
        <w:spacing w:before="162" w:line="352" w:lineRule="auto"/>
        <w:ind w:right="4" w:firstLine="482"/>
        <w:rPr>
          <w:rFonts w:hint="eastAsia" w:ascii="宋体" w:hAnsi="宋体" w:eastAsia="宋体" w:cs="宋体"/>
          <w:sz w:val="24"/>
          <w:szCs w:val="24"/>
          <w:lang w:eastAsia="zh-CN"/>
        </w:rPr>
      </w:pPr>
      <w:r>
        <w:rPr>
          <w:rFonts w:ascii="宋体" w:hAnsi="宋体" w:eastAsia="宋体" w:cs="宋体"/>
          <w:sz w:val="24"/>
          <w:szCs w:val="24"/>
          <w:lang w:eastAsia="zh-CN"/>
        </w:rPr>
        <w:t>人民币（大写）</w:t>
      </w:r>
      <w:r>
        <w:rPr>
          <w:rFonts w:ascii="宋体" w:hAnsi="宋体" w:eastAsia="宋体" w:cs="宋体"/>
          <w:sz w:val="24"/>
          <w:szCs w:val="24"/>
          <w:u w:val="single"/>
          <w:lang w:eastAsia="zh-CN"/>
        </w:rPr>
        <w:t>(</w:t>
      </w:r>
      <w:r>
        <w:rPr>
          <w:rFonts w:ascii="Times New Roman" w:hAnsi="Times New Roman" w:eastAsia="Times New Roman" w:cs="Times New Roman"/>
          <w:sz w:val="24"/>
          <w:szCs w:val="24"/>
          <w:u w:val="single"/>
          <w:lang w:eastAsia="zh-CN"/>
        </w:rPr>
        <w:t>¥</w:t>
      </w:r>
      <w:r>
        <w:rPr>
          <w:rFonts w:ascii="宋体" w:hAnsi="宋体" w:eastAsia="宋体" w:cs="宋体"/>
          <w:sz w:val="24"/>
          <w:szCs w:val="24"/>
          <w:lang w:eastAsia="zh-CN"/>
        </w:rPr>
        <w:t>元</w:t>
      </w:r>
      <w:r>
        <w:rPr>
          <w:rFonts w:ascii="宋体" w:hAnsi="宋体" w:eastAsia="宋体" w:cs="宋体"/>
          <w:spacing w:val="-2"/>
          <w:sz w:val="24"/>
          <w:szCs w:val="24"/>
          <w:lang w:eastAsia="zh-CN"/>
        </w:rPr>
        <w:t>）；</w:t>
      </w:r>
      <w:r>
        <w:rPr>
          <w:rFonts w:ascii="宋体" w:hAnsi="宋体" w:eastAsia="宋体" w:cs="宋体"/>
          <w:sz w:val="24"/>
          <w:szCs w:val="24"/>
          <w:lang w:eastAsia="zh-CN"/>
        </w:rPr>
        <w:t>适用税率：</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税金为人民币（大写）(</w:t>
      </w:r>
      <w:r>
        <w:rPr>
          <w:rFonts w:ascii="Times New Roman" w:hAnsi="Times New Roman" w:eastAsia="Times New Roman" w:cs="Times New Roman"/>
          <w:spacing w:val="2"/>
          <w:sz w:val="24"/>
          <w:szCs w:val="24"/>
          <w:lang w:eastAsia="zh-CN"/>
        </w:rPr>
        <w:t>¥</w:t>
      </w:r>
      <w:r>
        <w:rPr>
          <w:position w:val="-3"/>
          <w:sz w:val="24"/>
          <w:szCs w:val="24"/>
        </w:rPr>
        <w:drawing>
          <wp:inline distT="0" distB="0" distL="0" distR="0">
            <wp:extent cx="79565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5"/>
                    <a:stretch>
                      <a:fillRect/>
                    </a:stretch>
                  </pic:blipFill>
                  <pic:spPr>
                    <a:xfrm>
                      <a:off x="0" y="0"/>
                      <a:ext cx="796137" cy="7620"/>
                    </a:xfrm>
                    <a:prstGeom prst="rect">
                      <a:avLst/>
                    </a:prstGeom>
                  </pic:spPr>
                </pic:pic>
              </a:graphicData>
            </a:graphic>
          </wp:inline>
        </w:drawing>
      </w:r>
      <w:r>
        <w:rPr>
          <w:rFonts w:ascii="宋体" w:hAnsi="宋体" w:eastAsia="宋体" w:cs="宋体"/>
          <w:spacing w:val="2"/>
          <w:sz w:val="24"/>
          <w:szCs w:val="24"/>
          <w:lang w:eastAsia="zh-CN"/>
        </w:rPr>
        <w:t>元</w:t>
      </w:r>
      <w:r>
        <w:rPr>
          <w:rFonts w:ascii="宋体" w:hAnsi="宋体" w:eastAsia="宋体" w:cs="宋体"/>
          <w:spacing w:val="-9"/>
          <w:sz w:val="24"/>
          <w:szCs w:val="24"/>
          <w:lang w:eastAsia="zh-CN"/>
        </w:rPr>
        <w:t>）；</w:t>
      </w:r>
    </w:p>
    <w:p w14:paraId="581A8BCB">
      <w:pPr>
        <w:spacing w:before="19" w:line="232" w:lineRule="auto"/>
        <w:ind w:left="487"/>
        <w:rPr>
          <w:rFonts w:hint="eastAsia" w:ascii="宋体" w:hAnsi="宋体" w:eastAsia="宋体" w:cs="宋体"/>
          <w:sz w:val="24"/>
          <w:szCs w:val="24"/>
          <w:lang w:eastAsia="zh-CN"/>
        </w:rPr>
      </w:pP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4</w:t>
      </w:r>
      <w:r>
        <w:rPr>
          <w:rFonts w:ascii="宋体" w:hAnsi="宋体" w:eastAsia="宋体" w:cs="宋体"/>
          <w:spacing w:val="-7"/>
          <w:sz w:val="24"/>
          <w:szCs w:val="24"/>
          <w:lang w:eastAsia="zh-CN"/>
        </w:rPr>
        <w:t>）暂估价（含税</w:t>
      </w:r>
      <w:r>
        <w:rPr>
          <w:rFonts w:ascii="宋体" w:hAnsi="宋体" w:eastAsia="宋体" w:cs="宋体"/>
          <w:spacing w:val="-2"/>
          <w:sz w:val="24"/>
          <w:szCs w:val="24"/>
          <w:lang w:eastAsia="zh-CN"/>
        </w:rPr>
        <w:t>）：</w:t>
      </w:r>
    </w:p>
    <w:p w14:paraId="0D71D6A5">
      <w:pPr>
        <w:spacing w:before="166" w:line="219" w:lineRule="auto"/>
        <w:ind w:left="482"/>
        <w:rPr>
          <w:rFonts w:hint="eastAsia" w:ascii="宋体" w:hAnsi="宋体" w:eastAsia="宋体" w:cs="宋体"/>
          <w:sz w:val="24"/>
          <w:szCs w:val="24"/>
          <w:lang w:eastAsia="zh-CN"/>
        </w:rPr>
      </w:pPr>
      <w:r>
        <w:rPr>
          <w:rFonts w:ascii="宋体" w:hAnsi="宋体" w:eastAsia="宋体" w:cs="宋体"/>
          <w:spacing w:val="1"/>
          <w:sz w:val="24"/>
          <w:szCs w:val="24"/>
          <w:lang w:eastAsia="zh-CN"/>
        </w:rPr>
        <w:t>人民币（大写）(</w:t>
      </w:r>
      <w:r>
        <w:rPr>
          <w:rFonts w:ascii="Times New Roman" w:hAnsi="Times New Roman" w:eastAsia="Times New Roman" w:cs="Times New Roman"/>
          <w:spacing w:val="1"/>
          <w:sz w:val="24"/>
          <w:szCs w:val="24"/>
          <w:lang w:eastAsia="zh-CN"/>
        </w:rPr>
        <w:t>¥</w:t>
      </w:r>
      <w:r>
        <w:rPr>
          <w:position w:val="-3"/>
          <w:sz w:val="24"/>
          <w:szCs w:val="24"/>
        </w:rPr>
        <w:drawing>
          <wp:inline distT="0" distB="0" distL="0" distR="0">
            <wp:extent cx="117665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1177137" cy="7619"/>
                    </a:xfrm>
                    <a:prstGeom prst="rect">
                      <a:avLst/>
                    </a:prstGeom>
                  </pic:spPr>
                </pic:pic>
              </a:graphicData>
            </a:graphic>
          </wp:inline>
        </w:drawing>
      </w:r>
      <w:r>
        <w:rPr>
          <w:rFonts w:ascii="宋体" w:hAnsi="宋体" w:eastAsia="宋体" w:cs="宋体"/>
          <w:spacing w:val="1"/>
          <w:sz w:val="24"/>
          <w:szCs w:val="24"/>
          <w:lang w:eastAsia="zh-CN"/>
        </w:rPr>
        <w:t>元）。</w:t>
      </w:r>
    </w:p>
    <w:p w14:paraId="634440FF">
      <w:pPr>
        <w:spacing w:before="182" w:line="233" w:lineRule="auto"/>
        <w:ind w:left="487"/>
        <w:rPr>
          <w:rFonts w:hint="eastAsia" w:ascii="宋体" w:hAnsi="宋体" w:eastAsia="宋体" w:cs="宋体"/>
          <w:sz w:val="24"/>
          <w:szCs w:val="24"/>
          <w:lang w:eastAsia="zh-CN"/>
        </w:rPr>
      </w:pP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5</w:t>
      </w:r>
      <w:r>
        <w:rPr>
          <w:rFonts w:ascii="宋体" w:hAnsi="宋体" w:eastAsia="宋体" w:cs="宋体"/>
          <w:spacing w:val="-7"/>
          <w:sz w:val="24"/>
          <w:szCs w:val="24"/>
          <w:lang w:eastAsia="zh-CN"/>
        </w:rPr>
        <w:t>）暂列金额（含税</w:t>
      </w:r>
      <w:r>
        <w:rPr>
          <w:rFonts w:ascii="宋体" w:hAnsi="宋体" w:eastAsia="宋体" w:cs="宋体"/>
          <w:spacing w:val="1"/>
          <w:sz w:val="24"/>
          <w:szCs w:val="24"/>
          <w:lang w:eastAsia="zh-CN"/>
        </w:rPr>
        <w:t>）：</w:t>
      </w:r>
    </w:p>
    <w:p w14:paraId="4C7E544C">
      <w:pPr>
        <w:spacing w:before="164" w:line="219" w:lineRule="auto"/>
        <w:ind w:left="482"/>
        <w:rPr>
          <w:rFonts w:hint="eastAsia" w:ascii="宋体" w:hAnsi="宋体" w:eastAsia="宋体" w:cs="宋体"/>
          <w:sz w:val="24"/>
          <w:szCs w:val="24"/>
          <w:lang w:eastAsia="zh-CN"/>
        </w:rPr>
      </w:pPr>
      <w:r>
        <w:rPr>
          <w:rFonts w:ascii="宋体" w:hAnsi="宋体" w:eastAsia="宋体" w:cs="宋体"/>
          <w:spacing w:val="1"/>
          <w:sz w:val="24"/>
          <w:szCs w:val="24"/>
          <w:lang w:eastAsia="zh-CN"/>
        </w:rPr>
        <w:t>人民币（大写）(</w:t>
      </w:r>
      <w:r>
        <w:rPr>
          <w:rFonts w:ascii="Times New Roman" w:hAnsi="Times New Roman" w:eastAsia="Times New Roman" w:cs="Times New Roman"/>
          <w:spacing w:val="1"/>
          <w:sz w:val="24"/>
          <w:szCs w:val="24"/>
          <w:lang w:eastAsia="zh-CN"/>
        </w:rPr>
        <w:t>¥</w:t>
      </w:r>
      <w:r>
        <w:rPr>
          <w:position w:val="-3"/>
          <w:sz w:val="24"/>
          <w:szCs w:val="24"/>
        </w:rPr>
        <w:drawing>
          <wp:inline distT="0" distB="0" distL="0" distR="0">
            <wp:extent cx="79565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4"/>
                    <a:stretch>
                      <a:fillRect/>
                    </a:stretch>
                  </pic:blipFill>
                  <pic:spPr>
                    <a:xfrm>
                      <a:off x="0" y="0"/>
                      <a:ext cx="796137" cy="7620"/>
                    </a:xfrm>
                    <a:prstGeom prst="rect">
                      <a:avLst/>
                    </a:prstGeom>
                  </pic:spPr>
                </pic:pic>
              </a:graphicData>
            </a:graphic>
          </wp:inline>
        </w:drawing>
      </w:r>
      <w:r>
        <w:rPr>
          <w:rFonts w:ascii="宋体" w:hAnsi="宋体" w:eastAsia="宋体" w:cs="宋体"/>
          <w:spacing w:val="1"/>
          <w:sz w:val="24"/>
          <w:szCs w:val="24"/>
          <w:lang w:eastAsia="zh-CN"/>
        </w:rPr>
        <w:t>元）。</w:t>
      </w:r>
    </w:p>
    <w:p w14:paraId="2574C366">
      <w:pPr>
        <w:spacing w:before="182" w:line="233" w:lineRule="auto"/>
        <w:ind w:left="487"/>
        <w:rPr>
          <w:rFonts w:hint="eastAsia"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6</w:t>
      </w:r>
      <w:r>
        <w:rPr>
          <w:rFonts w:ascii="宋体" w:hAnsi="宋体" w:eastAsia="宋体" w:cs="宋体"/>
          <w:spacing w:val="-5"/>
          <w:sz w:val="24"/>
          <w:szCs w:val="24"/>
          <w:lang w:eastAsia="zh-CN"/>
        </w:rPr>
        <w:t>）双方约定的其他费用（含税</w:t>
      </w:r>
      <w:r>
        <w:rPr>
          <w:rFonts w:ascii="宋体" w:hAnsi="宋体" w:eastAsia="宋体" w:cs="宋体"/>
          <w:spacing w:val="3"/>
          <w:sz w:val="24"/>
          <w:szCs w:val="24"/>
          <w:lang w:eastAsia="zh-CN"/>
        </w:rPr>
        <w:t>）：</w:t>
      </w:r>
    </w:p>
    <w:p w14:paraId="0B78E717">
      <w:pPr>
        <w:spacing w:before="165" w:line="350" w:lineRule="auto"/>
        <w:ind w:firstLine="482"/>
        <w:rPr>
          <w:rFonts w:hint="eastAsia" w:ascii="宋体" w:hAnsi="宋体" w:eastAsia="宋体" w:cs="宋体"/>
          <w:sz w:val="24"/>
          <w:szCs w:val="24"/>
          <w:lang w:eastAsia="zh-CN"/>
        </w:rPr>
      </w:pPr>
      <w:r>
        <w:rPr>
          <w:rFonts w:ascii="宋体" w:hAnsi="宋体" w:eastAsia="宋体" w:cs="宋体"/>
          <w:sz w:val="24"/>
          <w:szCs w:val="24"/>
          <w:lang w:eastAsia="zh-CN"/>
        </w:rPr>
        <w:t>人民币（大写）(</w:t>
      </w:r>
      <w:r>
        <w:rPr>
          <w:rFonts w:ascii="Times New Roman" w:hAnsi="Times New Roman" w:eastAsia="Times New Roman" w:cs="Times New Roman"/>
          <w:sz w:val="24"/>
          <w:szCs w:val="24"/>
          <w:lang w:eastAsia="zh-CN"/>
        </w:rPr>
        <w:t>¥</w:t>
      </w:r>
      <w:r>
        <w:rPr>
          <w:position w:val="-2"/>
          <w:sz w:val="24"/>
          <w:szCs w:val="24"/>
        </w:rPr>
        <w:drawing>
          <wp:inline distT="0" distB="0" distL="0" distR="0">
            <wp:extent cx="57340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573633" cy="7619"/>
                    </a:xfrm>
                    <a:prstGeom prst="rect">
                      <a:avLst/>
                    </a:prstGeom>
                  </pic:spPr>
                </pic:pic>
              </a:graphicData>
            </a:graphic>
          </wp:inline>
        </w:drawing>
      </w:r>
      <w:r>
        <w:rPr>
          <w:rFonts w:ascii="宋体" w:hAnsi="宋体" w:eastAsia="宋体" w:cs="宋体"/>
          <w:sz w:val="24"/>
          <w:szCs w:val="24"/>
          <w:lang w:eastAsia="zh-CN"/>
        </w:rPr>
        <w:t>元</w:t>
      </w:r>
      <w:r>
        <w:rPr>
          <w:rFonts w:ascii="宋体" w:hAnsi="宋体" w:eastAsia="宋体" w:cs="宋体"/>
          <w:spacing w:val="-16"/>
          <w:sz w:val="24"/>
          <w:szCs w:val="24"/>
          <w:lang w:eastAsia="zh-CN"/>
        </w:rPr>
        <w:t>）；</w:t>
      </w:r>
      <w:r>
        <w:rPr>
          <w:rFonts w:ascii="宋体" w:hAnsi="宋体" w:eastAsia="宋体" w:cs="宋体"/>
          <w:sz w:val="24"/>
          <w:szCs w:val="24"/>
          <w:lang w:eastAsia="zh-CN"/>
        </w:rPr>
        <w:t>适用税率：</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w:t>
      </w:r>
      <w:r>
        <w:rPr>
          <w:rFonts w:ascii="宋体" w:hAnsi="宋体" w:eastAsia="宋体" w:cs="宋体"/>
          <w:spacing w:val="1"/>
          <w:sz w:val="24"/>
          <w:szCs w:val="24"/>
          <w:lang w:eastAsia="zh-CN"/>
        </w:rPr>
        <w:t>税金为人民币（大写）(</w:t>
      </w:r>
      <w:r>
        <w:rPr>
          <w:rFonts w:ascii="Times New Roman" w:hAnsi="Times New Roman" w:eastAsia="Times New Roman" w:cs="Times New Roman"/>
          <w:spacing w:val="1"/>
          <w:sz w:val="24"/>
          <w:szCs w:val="24"/>
          <w:lang w:eastAsia="zh-CN"/>
        </w:rPr>
        <w:t>¥</w:t>
      </w:r>
      <w:r>
        <w:rPr>
          <w:position w:val="-3"/>
          <w:sz w:val="24"/>
          <w:szCs w:val="24"/>
        </w:rPr>
        <w:drawing>
          <wp:inline distT="0" distB="0" distL="0" distR="0">
            <wp:extent cx="41465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8"/>
                    <a:stretch>
                      <a:fillRect/>
                    </a:stretch>
                  </pic:blipFill>
                  <pic:spPr>
                    <a:xfrm>
                      <a:off x="0" y="0"/>
                      <a:ext cx="415137" cy="7619"/>
                    </a:xfrm>
                    <a:prstGeom prst="rect">
                      <a:avLst/>
                    </a:prstGeom>
                  </pic:spPr>
                </pic:pic>
              </a:graphicData>
            </a:graphic>
          </wp:inline>
        </w:drawing>
      </w:r>
      <w:r>
        <w:rPr>
          <w:rFonts w:ascii="宋体" w:hAnsi="宋体" w:eastAsia="宋体" w:cs="宋体"/>
          <w:spacing w:val="1"/>
          <w:sz w:val="24"/>
          <w:szCs w:val="24"/>
          <w:lang w:eastAsia="zh-CN"/>
        </w:rPr>
        <w:t>元）。</w:t>
      </w:r>
    </w:p>
    <w:p w14:paraId="38461853">
      <w:pPr>
        <w:spacing w:before="23" w:line="232" w:lineRule="auto"/>
        <w:ind w:left="476"/>
        <w:rPr>
          <w:rFonts w:hint="eastAsia" w:ascii="宋体" w:hAnsi="宋体" w:eastAsia="宋体" w:cs="宋体"/>
          <w:sz w:val="24"/>
          <w:szCs w:val="24"/>
          <w:lang w:eastAsia="zh-CN"/>
        </w:rPr>
      </w:pPr>
      <w:r>
        <w:rPr>
          <w:rFonts w:ascii="Times New Roman" w:hAnsi="Times New Roman" w:eastAsia="Times New Roman" w:cs="Times New Roman"/>
          <w:spacing w:val="-7"/>
          <w:sz w:val="24"/>
          <w:szCs w:val="24"/>
          <w:lang w:eastAsia="zh-CN"/>
        </w:rPr>
        <w:t>2.</w:t>
      </w:r>
      <w:r>
        <w:rPr>
          <w:rFonts w:ascii="宋体" w:hAnsi="宋体" w:eastAsia="宋体" w:cs="宋体"/>
          <w:spacing w:val="-7"/>
          <w:sz w:val="24"/>
          <w:szCs w:val="24"/>
          <w:lang w:eastAsia="zh-CN"/>
        </w:rPr>
        <w:t>合同价格形式：</w:t>
      </w:r>
    </w:p>
    <w:p w14:paraId="7420001E">
      <w:pPr>
        <w:spacing w:before="164" w:line="359" w:lineRule="auto"/>
        <w:ind w:left="20" w:right="70" w:firstLine="461"/>
        <w:rPr>
          <w:rFonts w:hint="eastAsia" w:ascii="宋体" w:hAnsi="宋体" w:eastAsia="宋体" w:cs="宋体"/>
          <w:sz w:val="24"/>
          <w:szCs w:val="24"/>
          <w:lang w:eastAsia="zh-CN"/>
        </w:rPr>
      </w:pPr>
      <w:r>
        <w:rPr>
          <w:rFonts w:ascii="宋体" w:hAnsi="宋体" w:eastAsia="宋体" w:cs="宋体"/>
          <w:spacing w:val="-1"/>
          <w:sz w:val="24"/>
          <w:szCs w:val="24"/>
          <w:lang w:eastAsia="zh-CN"/>
        </w:rPr>
        <w:t>合同价格形式为总价合同，除根据合同约定的在工程</w:t>
      </w:r>
      <w:r>
        <w:rPr>
          <w:rFonts w:ascii="宋体" w:hAnsi="宋体" w:eastAsia="宋体" w:cs="宋体"/>
          <w:spacing w:val="-2"/>
          <w:sz w:val="24"/>
          <w:szCs w:val="24"/>
          <w:lang w:eastAsia="zh-CN"/>
        </w:rPr>
        <w:t>实施过程中需进行增减的款项外</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合同价格不予调整，但合同当事人另</w:t>
      </w:r>
      <w:r>
        <w:rPr>
          <w:rFonts w:ascii="宋体" w:hAnsi="宋体" w:eastAsia="宋体" w:cs="宋体"/>
          <w:spacing w:val="-3"/>
          <w:sz w:val="24"/>
          <w:szCs w:val="24"/>
          <w:lang w:eastAsia="zh-CN"/>
        </w:rPr>
        <w:t>有约定的除外。</w:t>
      </w:r>
    </w:p>
    <w:p w14:paraId="0AB1622F">
      <w:pPr>
        <w:spacing w:before="1" w:line="218" w:lineRule="auto"/>
        <w:ind w:left="481"/>
        <w:rPr>
          <w:rFonts w:hint="eastAsia" w:ascii="宋体" w:hAnsi="宋体" w:eastAsia="宋体" w:cs="宋体"/>
          <w:sz w:val="24"/>
          <w:szCs w:val="24"/>
          <w:lang w:eastAsia="zh-CN"/>
        </w:rPr>
      </w:pPr>
      <w:r>
        <w:rPr>
          <w:rFonts w:ascii="宋体" w:hAnsi="宋体" w:eastAsia="宋体" w:cs="宋体"/>
          <w:spacing w:val="1"/>
          <w:sz w:val="24"/>
          <w:szCs w:val="24"/>
          <w:lang w:eastAsia="zh-CN"/>
        </w:rPr>
        <w:t>合同当事人对合同价格形式的其他约定：</w:t>
      </w:r>
      <w:r>
        <w:rPr>
          <w:rFonts w:ascii="宋体" w:hAnsi="宋体" w:eastAsia="宋体" w:cs="宋体"/>
          <w:sz w:val="24"/>
          <w:szCs w:val="24"/>
          <w:u w:val="single"/>
          <w:lang w:eastAsia="zh-CN"/>
        </w:rPr>
        <w:t>。</w:t>
      </w:r>
    </w:p>
    <w:p w14:paraId="52104C1C">
      <w:pPr>
        <w:spacing w:before="184" w:line="219" w:lineRule="auto"/>
        <w:ind w:left="487"/>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五、工程总承包项目经理</w:t>
      </w:r>
    </w:p>
    <w:p w14:paraId="5644C05D">
      <w:pPr>
        <w:spacing w:before="180" w:line="220" w:lineRule="auto"/>
        <w:ind w:left="483"/>
        <w:rPr>
          <w:rFonts w:hint="eastAsia" w:ascii="宋体" w:hAnsi="宋体" w:eastAsia="宋体" w:cs="宋体"/>
          <w:sz w:val="24"/>
          <w:szCs w:val="24"/>
          <w:lang w:eastAsia="zh-CN"/>
        </w:rPr>
      </w:pPr>
      <w:r>
        <w:rPr>
          <w:rFonts w:ascii="宋体" w:hAnsi="宋体" w:eastAsia="宋体" w:cs="宋体"/>
          <w:spacing w:val="1"/>
          <w:sz w:val="24"/>
          <w:szCs w:val="24"/>
          <w:lang w:eastAsia="zh-CN"/>
        </w:rPr>
        <w:t>工程总承包项目经理：</w:t>
      </w:r>
      <w:r>
        <w:rPr>
          <w:rFonts w:ascii="宋体" w:hAnsi="宋体" w:eastAsia="宋体" w:cs="宋体"/>
          <w:sz w:val="24"/>
          <w:szCs w:val="24"/>
          <w:u w:val="single"/>
          <w:lang w:eastAsia="zh-CN"/>
        </w:rPr>
        <w:t>。</w:t>
      </w:r>
    </w:p>
    <w:p w14:paraId="269482BC">
      <w:pPr>
        <w:spacing w:before="183" w:line="219" w:lineRule="auto"/>
        <w:ind w:left="488"/>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六、合同文件构成</w:t>
      </w:r>
    </w:p>
    <w:p w14:paraId="2A681CB2">
      <w:pPr>
        <w:spacing w:before="184" w:line="219" w:lineRule="auto"/>
        <w:ind w:left="481"/>
        <w:rPr>
          <w:rFonts w:hint="eastAsia" w:ascii="宋体" w:hAnsi="宋体" w:eastAsia="宋体" w:cs="宋体"/>
          <w:sz w:val="24"/>
          <w:szCs w:val="24"/>
          <w:lang w:eastAsia="zh-CN"/>
        </w:rPr>
      </w:pPr>
      <w:r>
        <w:rPr>
          <w:rFonts w:ascii="宋体" w:hAnsi="宋体" w:eastAsia="宋体" w:cs="宋体"/>
          <w:spacing w:val="-4"/>
          <w:sz w:val="24"/>
          <w:szCs w:val="24"/>
          <w:lang w:eastAsia="zh-CN"/>
        </w:rPr>
        <w:t>本协议书与下列文件一起构成合同文件：</w:t>
      </w:r>
    </w:p>
    <w:p w14:paraId="7721AD8E">
      <w:pPr>
        <w:spacing w:before="181" w:line="239" w:lineRule="auto"/>
        <w:ind w:left="487"/>
        <w:rPr>
          <w:rFonts w:hint="eastAsia" w:ascii="宋体" w:hAnsi="宋体" w:eastAsia="宋体" w:cs="宋体"/>
          <w:sz w:val="24"/>
          <w:szCs w:val="24"/>
          <w:lang w:eastAsia="zh-CN"/>
        </w:rPr>
      </w:pPr>
      <w:r>
        <w:rPr>
          <w:rFonts w:ascii="宋体" w:hAnsi="宋体" w:eastAsia="宋体" w:cs="宋体"/>
          <w:spacing w:val="-6"/>
          <w:sz w:val="24"/>
          <w:szCs w:val="24"/>
          <w:lang w:eastAsia="zh-CN"/>
        </w:rPr>
        <w:t>（</w:t>
      </w:r>
      <w:r>
        <w:rPr>
          <w:rFonts w:ascii="Calibri" w:hAnsi="Calibri" w:eastAsia="Calibri" w:cs="Calibri"/>
          <w:spacing w:val="-6"/>
          <w:sz w:val="24"/>
          <w:szCs w:val="24"/>
          <w:lang w:eastAsia="zh-CN"/>
        </w:rPr>
        <w:t>1</w:t>
      </w:r>
      <w:r>
        <w:rPr>
          <w:rFonts w:ascii="宋体" w:hAnsi="宋体" w:eastAsia="宋体" w:cs="宋体"/>
          <w:spacing w:val="-6"/>
          <w:sz w:val="24"/>
          <w:szCs w:val="24"/>
          <w:lang w:eastAsia="zh-CN"/>
        </w:rPr>
        <w:t>）中标通知书（如果有</w:t>
      </w:r>
      <w:r>
        <w:rPr>
          <w:rFonts w:ascii="宋体" w:hAnsi="宋体" w:eastAsia="宋体" w:cs="宋体"/>
          <w:spacing w:val="2"/>
          <w:sz w:val="24"/>
          <w:szCs w:val="24"/>
          <w:lang w:eastAsia="zh-CN"/>
        </w:rPr>
        <w:t>）；</w:t>
      </w:r>
    </w:p>
    <w:p w14:paraId="620C1912">
      <w:pPr>
        <w:spacing w:before="157" w:line="239" w:lineRule="auto"/>
        <w:ind w:left="487"/>
        <w:rPr>
          <w:rFonts w:hint="eastAsia" w:ascii="宋体" w:hAnsi="宋体" w:eastAsia="宋体" w:cs="宋体"/>
          <w:sz w:val="24"/>
          <w:szCs w:val="24"/>
          <w:lang w:eastAsia="zh-CN"/>
        </w:rPr>
      </w:pPr>
      <w:r>
        <w:rPr>
          <w:rFonts w:ascii="宋体" w:hAnsi="宋体" w:eastAsia="宋体" w:cs="宋体"/>
          <w:spacing w:val="-5"/>
          <w:sz w:val="24"/>
          <w:szCs w:val="24"/>
          <w:lang w:eastAsia="zh-CN"/>
        </w:rPr>
        <w:t>（</w:t>
      </w:r>
      <w:r>
        <w:rPr>
          <w:rFonts w:ascii="Calibri" w:hAnsi="Calibri" w:eastAsia="Calibri" w:cs="Calibri"/>
          <w:spacing w:val="-5"/>
          <w:sz w:val="24"/>
          <w:szCs w:val="24"/>
          <w:lang w:eastAsia="zh-CN"/>
        </w:rPr>
        <w:t>2</w:t>
      </w:r>
      <w:r>
        <w:rPr>
          <w:rFonts w:ascii="宋体" w:hAnsi="宋体" w:eastAsia="宋体" w:cs="宋体"/>
          <w:spacing w:val="-5"/>
          <w:sz w:val="24"/>
          <w:szCs w:val="24"/>
          <w:lang w:eastAsia="zh-CN"/>
        </w:rPr>
        <w:t>）投标函及投标函附录（如果有</w:t>
      </w:r>
      <w:r>
        <w:rPr>
          <w:rFonts w:ascii="宋体" w:hAnsi="宋体" w:eastAsia="宋体" w:cs="宋体"/>
          <w:spacing w:val="5"/>
          <w:sz w:val="24"/>
          <w:szCs w:val="24"/>
          <w:lang w:eastAsia="zh-CN"/>
        </w:rPr>
        <w:t>）；</w:t>
      </w:r>
    </w:p>
    <w:p w14:paraId="052AA461">
      <w:pPr>
        <w:spacing w:before="155" w:line="239" w:lineRule="auto"/>
        <w:ind w:left="487"/>
        <w:rPr>
          <w:rFonts w:hint="eastAsia" w:ascii="宋体" w:hAnsi="宋体" w:eastAsia="宋体" w:cs="宋体"/>
          <w:sz w:val="24"/>
          <w:szCs w:val="24"/>
          <w:lang w:eastAsia="zh-CN"/>
        </w:rPr>
      </w:pPr>
      <w:r>
        <w:rPr>
          <w:rFonts w:ascii="宋体" w:hAnsi="宋体" w:eastAsia="宋体" w:cs="宋体"/>
          <w:spacing w:val="-4"/>
          <w:sz w:val="24"/>
          <w:szCs w:val="24"/>
          <w:lang w:eastAsia="zh-CN"/>
        </w:rPr>
        <w:t>（</w:t>
      </w:r>
      <w:r>
        <w:rPr>
          <w:rFonts w:ascii="Calibri" w:hAnsi="Calibri" w:eastAsia="Calibri" w:cs="Calibri"/>
          <w:spacing w:val="-4"/>
          <w:sz w:val="24"/>
          <w:szCs w:val="24"/>
          <w:lang w:eastAsia="zh-CN"/>
        </w:rPr>
        <w:t>3</w:t>
      </w:r>
      <w:r>
        <w:rPr>
          <w:rFonts w:ascii="宋体" w:hAnsi="宋体" w:eastAsia="宋体" w:cs="宋体"/>
          <w:spacing w:val="-4"/>
          <w:sz w:val="24"/>
          <w:szCs w:val="24"/>
          <w:lang w:eastAsia="zh-CN"/>
        </w:rPr>
        <w:t>）专用合同条件及《发包人要求》等附件；</w:t>
      </w:r>
    </w:p>
    <w:p w14:paraId="4FF0D2BD">
      <w:pPr>
        <w:spacing w:before="157"/>
        <w:ind w:left="487"/>
        <w:rPr>
          <w:rFonts w:hint="eastAsia" w:ascii="宋体" w:hAnsi="宋体" w:eastAsia="宋体" w:cs="宋体"/>
          <w:spacing w:val="-7"/>
          <w:sz w:val="24"/>
          <w:szCs w:val="24"/>
          <w:lang w:eastAsia="zh-CN"/>
        </w:rPr>
      </w:pPr>
      <w:r>
        <w:rPr>
          <w:rFonts w:ascii="宋体" w:hAnsi="宋体" w:eastAsia="宋体" w:cs="宋体"/>
          <w:spacing w:val="-7"/>
          <w:sz w:val="24"/>
          <w:szCs w:val="24"/>
          <w:lang w:eastAsia="zh-CN"/>
        </w:rPr>
        <w:t>（</w:t>
      </w:r>
      <w:r>
        <w:rPr>
          <w:rFonts w:ascii="Calibri" w:hAnsi="Calibri" w:eastAsia="Calibri" w:cs="Calibri"/>
          <w:spacing w:val="-7"/>
          <w:sz w:val="24"/>
          <w:szCs w:val="24"/>
          <w:lang w:eastAsia="zh-CN"/>
        </w:rPr>
        <w:t>4</w:t>
      </w:r>
      <w:r>
        <w:rPr>
          <w:rFonts w:ascii="宋体" w:hAnsi="宋体" w:eastAsia="宋体" w:cs="宋体"/>
          <w:spacing w:val="-7"/>
          <w:sz w:val="24"/>
          <w:szCs w:val="24"/>
          <w:lang w:eastAsia="zh-CN"/>
        </w:rPr>
        <w:t>）通用合同条件；</w:t>
      </w:r>
    </w:p>
    <w:p w14:paraId="64D16AA9">
      <w:pPr>
        <w:spacing w:before="157"/>
        <w:ind w:left="487"/>
        <w:rPr>
          <w:rFonts w:hint="eastAsia" w:ascii="宋体" w:hAnsi="宋体" w:eastAsia="宋体" w:cs="宋体"/>
          <w:sz w:val="24"/>
          <w:szCs w:val="24"/>
          <w:lang w:eastAsia="zh-CN"/>
        </w:rPr>
      </w:pPr>
      <w:r>
        <w:rPr>
          <w:rFonts w:ascii="宋体" w:hAnsi="宋体" w:eastAsia="宋体" w:cs="宋体"/>
          <w:spacing w:val="-7"/>
          <w:sz w:val="24"/>
          <w:szCs w:val="24"/>
          <w:lang w:eastAsia="zh-CN"/>
        </w:rPr>
        <w:t>（</w:t>
      </w:r>
      <w:r>
        <w:rPr>
          <w:rFonts w:ascii="Calibri" w:hAnsi="Calibri" w:eastAsia="Calibri" w:cs="Calibri"/>
          <w:spacing w:val="-7"/>
          <w:sz w:val="24"/>
          <w:szCs w:val="24"/>
          <w:lang w:eastAsia="zh-CN"/>
        </w:rPr>
        <w:t>5</w:t>
      </w:r>
      <w:r>
        <w:rPr>
          <w:rFonts w:ascii="宋体" w:hAnsi="宋体" w:eastAsia="宋体" w:cs="宋体"/>
          <w:spacing w:val="-7"/>
          <w:sz w:val="24"/>
          <w:szCs w:val="24"/>
          <w:lang w:eastAsia="zh-CN"/>
        </w:rPr>
        <w:t>）承包人建议书；</w:t>
      </w:r>
    </w:p>
    <w:p w14:paraId="50F5B29B">
      <w:pPr>
        <w:spacing w:before="158" w:line="238" w:lineRule="auto"/>
        <w:ind w:left="486"/>
        <w:rPr>
          <w:rFonts w:hint="eastAsia" w:ascii="宋体" w:hAnsi="宋体" w:eastAsia="宋体" w:cs="宋体"/>
          <w:sz w:val="24"/>
          <w:szCs w:val="24"/>
          <w:lang w:eastAsia="zh-CN"/>
        </w:rPr>
      </w:pPr>
      <w:r>
        <w:rPr>
          <w:rFonts w:ascii="宋体" w:hAnsi="宋体" w:eastAsia="宋体" w:cs="宋体"/>
          <w:spacing w:val="-8"/>
          <w:sz w:val="24"/>
          <w:szCs w:val="24"/>
          <w:lang w:eastAsia="zh-CN"/>
        </w:rPr>
        <w:t>（</w:t>
      </w:r>
      <w:r>
        <w:rPr>
          <w:rFonts w:ascii="Calibri" w:hAnsi="Calibri" w:eastAsia="Calibri" w:cs="Calibri"/>
          <w:spacing w:val="-8"/>
          <w:sz w:val="24"/>
          <w:szCs w:val="24"/>
          <w:lang w:eastAsia="zh-CN"/>
        </w:rPr>
        <w:t>6</w:t>
      </w:r>
      <w:r>
        <w:rPr>
          <w:rFonts w:ascii="宋体" w:hAnsi="宋体" w:eastAsia="宋体" w:cs="宋体"/>
          <w:spacing w:val="-8"/>
          <w:sz w:val="24"/>
          <w:szCs w:val="24"/>
          <w:lang w:eastAsia="zh-CN"/>
        </w:rPr>
        <w:t>）价格清单；</w:t>
      </w:r>
    </w:p>
    <w:p w14:paraId="7CD1BCA5">
      <w:pPr>
        <w:spacing w:before="155"/>
        <w:ind w:left="486"/>
        <w:rPr>
          <w:rFonts w:hint="eastAsia" w:ascii="宋体" w:hAnsi="宋体" w:eastAsia="宋体" w:cs="宋体"/>
          <w:sz w:val="24"/>
          <w:szCs w:val="24"/>
          <w:lang w:eastAsia="zh-CN"/>
        </w:rPr>
      </w:pPr>
      <w:r>
        <w:rPr>
          <w:rFonts w:ascii="宋体" w:hAnsi="宋体" w:eastAsia="宋体" w:cs="宋体"/>
          <w:spacing w:val="-4"/>
          <w:sz w:val="24"/>
          <w:szCs w:val="24"/>
          <w:lang w:eastAsia="zh-CN"/>
        </w:rPr>
        <w:t>（</w:t>
      </w:r>
      <w:r>
        <w:rPr>
          <w:rFonts w:ascii="Calibri" w:hAnsi="Calibri" w:eastAsia="Calibri" w:cs="Calibri"/>
          <w:spacing w:val="-4"/>
          <w:sz w:val="24"/>
          <w:szCs w:val="24"/>
          <w:lang w:eastAsia="zh-CN"/>
        </w:rPr>
        <w:t>7</w:t>
      </w:r>
      <w:r>
        <w:rPr>
          <w:rFonts w:ascii="宋体" w:hAnsi="宋体" w:eastAsia="宋体" w:cs="宋体"/>
          <w:spacing w:val="-4"/>
          <w:sz w:val="24"/>
          <w:szCs w:val="24"/>
          <w:lang w:eastAsia="zh-CN"/>
        </w:rPr>
        <w:t>）双方约定的其他合同文件。</w:t>
      </w:r>
    </w:p>
    <w:p w14:paraId="153F0C11">
      <w:pPr>
        <w:spacing w:before="155" w:line="359" w:lineRule="auto"/>
        <w:ind w:right="2" w:firstLine="481"/>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上述各项合同文件包括双方就该项合同文件所作出</w:t>
      </w:r>
      <w:r>
        <w:rPr>
          <w:rFonts w:ascii="宋体" w:hAnsi="宋体" w:eastAsia="宋体" w:cs="宋体"/>
          <w:spacing w:val="-2"/>
          <w:sz w:val="24"/>
          <w:szCs w:val="24"/>
          <w:lang w:eastAsia="zh-CN"/>
        </w:rPr>
        <w:t>的补充和修改，属于同一</w:t>
      </w:r>
      <w:r>
        <w:rPr>
          <w:rFonts w:ascii="宋体" w:hAnsi="宋体" w:eastAsia="宋体" w:cs="宋体"/>
          <w:spacing w:val="-1"/>
          <w:sz w:val="24"/>
          <w:szCs w:val="24"/>
          <w:lang w:eastAsia="zh-CN"/>
        </w:rPr>
        <w:t>类内容的合同文件应以最新签署的为准。专用合同条件及其附件</w:t>
      </w:r>
      <w:r>
        <w:rPr>
          <w:rFonts w:ascii="宋体" w:hAnsi="宋体" w:eastAsia="宋体" w:cs="宋体"/>
          <w:spacing w:val="-2"/>
          <w:sz w:val="24"/>
          <w:szCs w:val="24"/>
          <w:lang w:eastAsia="zh-CN"/>
        </w:rPr>
        <w:t>须经合同当事人</w:t>
      </w:r>
      <w:r>
        <w:rPr>
          <w:rFonts w:ascii="宋体" w:hAnsi="宋体" w:eastAsia="宋体" w:cs="宋体"/>
          <w:spacing w:val="-7"/>
          <w:sz w:val="24"/>
          <w:szCs w:val="24"/>
          <w:lang w:eastAsia="zh-CN"/>
        </w:rPr>
        <w:t>签字或盖章。</w:t>
      </w:r>
    </w:p>
    <w:p w14:paraId="2EBEA10C">
      <w:pPr>
        <w:spacing w:line="219" w:lineRule="auto"/>
        <w:ind w:left="478"/>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七、承诺</w:t>
      </w:r>
    </w:p>
    <w:p w14:paraId="62351E07">
      <w:pPr>
        <w:spacing w:before="182" w:line="289" w:lineRule="auto"/>
        <w:ind w:left="23" w:right="31"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发包人承诺按照法律规定履行项目审批手续、筹集工程建设资金并按照合</w:t>
      </w:r>
      <w:r>
        <w:rPr>
          <w:rFonts w:ascii="宋体" w:hAnsi="宋体" w:eastAsia="宋体" w:cs="宋体"/>
          <w:spacing w:val="-4"/>
          <w:sz w:val="24"/>
          <w:szCs w:val="24"/>
          <w:lang w:eastAsia="zh-CN"/>
        </w:rPr>
        <w:t>同约定的期限和方式支付合同价款。</w:t>
      </w:r>
    </w:p>
    <w:p w14:paraId="2ACDD620">
      <w:pPr>
        <w:spacing w:before="181" w:line="313" w:lineRule="auto"/>
        <w:ind w:left="2" w:firstLine="47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承包人承诺按照法律规定及合同约定组</w:t>
      </w:r>
      <w:r>
        <w:rPr>
          <w:rFonts w:ascii="宋体" w:hAnsi="宋体" w:eastAsia="宋体" w:cs="宋体"/>
          <w:sz w:val="24"/>
          <w:szCs w:val="24"/>
          <w:lang w:eastAsia="zh-CN"/>
        </w:rPr>
        <w:t>织完成工程的设计、采购和施工等</w:t>
      </w:r>
      <w:r>
        <w:rPr>
          <w:rFonts w:ascii="宋体" w:hAnsi="宋体" w:eastAsia="宋体" w:cs="宋体"/>
          <w:spacing w:val="-1"/>
          <w:sz w:val="24"/>
          <w:szCs w:val="24"/>
          <w:lang w:eastAsia="zh-CN"/>
        </w:rPr>
        <w:t>工作，确保工程质量和安全，不进行转包及违法分包，并在缺陷</w:t>
      </w:r>
      <w:r>
        <w:rPr>
          <w:rFonts w:ascii="宋体" w:hAnsi="宋体" w:eastAsia="宋体" w:cs="宋体"/>
          <w:spacing w:val="-2"/>
          <w:sz w:val="24"/>
          <w:szCs w:val="24"/>
          <w:lang w:eastAsia="zh-CN"/>
        </w:rPr>
        <w:t>责任期及保修期</w:t>
      </w:r>
      <w:r>
        <w:rPr>
          <w:rFonts w:ascii="宋体" w:hAnsi="宋体" w:eastAsia="宋体" w:cs="宋体"/>
          <w:spacing w:val="-4"/>
          <w:sz w:val="24"/>
          <w:szCs w:val="24"/>
          <w:lang w:eastAsia="zh-CN"/>
        </w:rPr>
        <w:t>内承担相应的工程维修责任。</w:t>
      </w:r>
    </w:p>
    <w:p w14:paraId="359C4C76">
      <w:pPr>
        <w:spacing w:before="183" w:line="220" w:lineRule="auto"/>
        <w:ind w:left="479"/>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八、订立时间</w:t>
      </w:r>
    </w:p>
    <w:p w14:paraId="482E259B">
      <w:pPr>
        <w:spacing w:before="179" w:line="219" w:lineRule="auto"/>
        <w:ind w:left="480"/>
        <w:rPr>
          <w:rFonts w:hint="eastAsia" w:ascii="宋体" w:hAnsi="宋体" w:eastAsia="宋体" w:cs="宋体"/>
          <w:sz w:val="24"/>
          <w:szCs w:val="24"/>
          <w:lang w:eastAsia="zh-CN"/>
        </w:rPr>
      </w:pPr>
      <w:r>
        <w:rPr>
          <w:rFonts w:ascii="宋体" w:hAnsi="宋体" w:eastAsia="宋体" w:cs="宋体"/>
          <w:spacing w:val="-8"/>
          <w:sz w:val="24"/>
          <w:szCs w:val="24"/>
          <w:lang w:eastAsia="zh-CN"/>
        </w:rPr>
        <w:t>本合同于年月日订立。</w:t>
      </w:r>
    </w:p>
    <w:p w14:paraId="2D6583E0">
      <w:pPr>
        <w:spacing w:before="184" w:line="220" w:lineRule="auto"/>
        <w:ind w:left="485"/>
        <w:outlineLvl w:val="2"/>
        <w:rPr>
          <w:rFonts w:hint="eastAsia" w:ascii="黑体" w:hAnsi="黑体" w:eastAsia="黑体" w:cs="黑体"/>
          <w:sz w:val="24"/>
          <w:szCs w:val="24"/>
          <w:lang w:eastAsia="zh-CN"/>
        </w:rPr>
      </w:pPr>
      <w:r>
        <w:rPr>
          <w:rFonts w:ascii="黑体" w:hAnsi="黑体" w:eastAsia="黑体" w:cs="黑体"/>
          <w:spacing w:val="-3"/>
          <w:sz w:val="24"/>
          <w:szCs w:val="24"/>
          <w:lang w:eastAsia="zh-CN"/>
        </w:rPr>
        <w:t>九、订立地点</w:t>
      </w:r>
    </w:p>
    <w:p w14:paraId="2A80F6AD">
      <w:pPr>
        <w:spacing w:before="179" w:line="219" w:lineRule="auto"/>
        <w:ind w:left="480"/>
        <w:rPr>
          <w:rFonts w:hint="eastAsia" w:ascii="宋体" w:hAnsi="宋体" w:eastAsia="宋体" w:cs="宋体"/>
          <w:sz w:val="24"/>
          <w:szCs w:val="24"/>
          <w:lang w:eastAsia="zh-CN"/>
        </w:rPr>
      </w:pPr>
      <w:r>
        <w:rPr>
          <w:rFonts w:ascii="宋体" w:hAnsi="宋体" w:eastAsia="宋体" w:cs="宋体"/>
          <w:spacing w:val="-6"/>
          <w:sz w:val="24"/>
          <w:szCs w:val="24"/>
          <w:lang w:eastAsia="zh-CN"/>
        </w:rPr>
        <w:t>本合同在订立。</w:t>
      </w:r>
    </w:p>
    <w:p w14:paraId="30841D92">
      <w:pPr>
        <w:spacing w:before="184" w:line="218" w:lineRule="auto"/>
        <w:ind w:left="482"/>
        <w:outlineLvl w:val="2"/>
        <w:rPr>
          <w:rFonts w:hint="eastAsia" w:ascii="黑体" w:hAnsi="黑体" w:eastAsia="黑体" w:cs="黑体"/>
          <w:sz w:val="24"/>
          <w:szCs w:val="24"/>
          <w:lang w:eastAsia="zh-CN"/>
        </w:rPr>
      </w:pPr>
      <w:r>
        <w:rPr>
          <w:rFonts w:ascii="黑体" w:hAnsi="黑体" w:eastAsia="黑体" w:cs="黑体"/>
          <w:spacing w:val="-2"/>
          <w:sz w:val="24"/>
          <w:szCs w:val="24"/>
          <w:lang w:eastAsia="zh-CN"/>
        </w:rPr>
        <w:t>十、合同生效</w:t>
      </w:r>
    </w:p>
    <w:p w14:paraId="576F31E5">
      <w:pPr>
        <w:spacing w:before="182" w:line="219" w:lineRule="auto"/>
        <w:ind w:left="480"/>
        <w:rPr>
          <w:rFonts w:hint="eastAsia" w:ascii="宋体" w:hAnsi="宋体" w:eastAsia="宋体" w:cs="宋体"/>
          <w:sz w:val="24"/>
          <w:szCs w:val="24"/>
          <w:lang w:eastAsia="zh-CN"/>
        </w:rPr>
      </w:pPr>
      <w:r>
        <w:rPr>
          <w:rFonts w:ascii="宋体" w:hAnsi="宋体" w:eastAsia="宋体" w:cs="宋体"/>
          <w:spacing w:val="-1"/>
          <w:sz w:val="24"/>
          <w:szCs w:val="24"/>
          <w:lang w:eastAsia="zh-CN"/>
        </w:rPr>
        <w:t>本合同经双方签字或盖章后成立，并自生效。</w:t>
      </w:r>
    </w:p>
    <w:p w14:paraId="5FD9FF72">
      <w:pPr>
        <w:spacing w:before="183" w:line="220" w:lineRule="auto"/>
        <w:ind w:left="482"/>
        <w:outlineLvl w:val="2"/>
        <w:rPr>
          <w:rFonts w:hint="eastAsia" w:ascii="黑体" w:hAnsi="黑体" w:eastAsia="黑体" w:cs="黑体"/>
          <w:sz w:val="24"/>
          <w:szCs w:val="24"/>
          <w:lang w:eastAsia="zh-CN"/>
        </w:rPr>
      </w:pPr>
      <w:r>
        <w:rPr>
          <w:rFonts w:ascii="黑体" w:hAnsi="黑体" w:eastAsia="黑体" w:cs="黑体"/>
          <w:spacing w:val="-4"/>
          <w:sz w:val="24"/>
          <w:szCs w:val="24"/>
          <w:lang w:eastAsia="zh-CN"/>
        </w:rPr>
        <w:t>十一、合同份数</w:t>
      </w:r>
    </w:p>
    <w:p w14:paraId="4929AFC6">
      <w:pPr>
        <w:spacing w:before="180" w:line="219" w:lineRule="auto"/>
        <w:ind w:right="14" w:firstLine="456" w:firstLineChars="200"/>
        <w:jc w:val="both"/>
        <w:rPr>
          <w:rFonts w:hint="eastAsia" w:ascii="宋体" w:hAnsi="宋体" w:eastAsia="宋体" w:cs="宋体"/>
          <w:spacing w:val="-7"/>
          <w:sz w:val="24"/>
          <w:szCs w:val="24"/>
          <w:lang w:eastAsia="zh-CN"/>
        </w:rPr>
      </w:pPr>
      <w:r>
        <w:rPr>
          <w:rFonts w:ascii="宋体" w:hAnsi="宋体" w:eastAsia="宋体" w:cs="宋体"/>
          <w:spacing w:val="-6"/>
          <w:sz w:val="24"/>
          <w:szCs w:val="24"/>
          <w:lang w:eastAsia="zh-CN"/>
        </w:rPr>
        <w:t>本合同一式份，均具有同等法律效力，发</w:t>
      </w:r>
      <w:r>
        <w:rPr>
          <w:rFonts w:ascii="宋体" w:hAnsi="宋体" w:eastAsia="宋体" w:cs="宋体"/>
          <w:spacing w:val="-7"/>
          <w:sz w:val="24"/>
          <w:szCs w:val="24"/>
          <w:lang w:eastAsia="zh-CN"/>
        </w:rPr>
        <w:t>包人执份，承包人执份。</w:t>
      </w:r>
    </w:p>
    <w:p w14:paraId="5F492654">
      <w:pPr>
        <w:spacing w:before="180" w:line="219" w:lineRule="auto"/>
        <w:ind w:right="14" w:firstLine="464" w:firstLineChars="200"/>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发包人</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公章）</w:t>
      </w:r>
      <w:r>
        <w:rPr>
          <w:rFonts w:ascii="宋体" w:hAnsi="宋体" w:eastAsia="宋体" w:cs="宋体"/>
          <w:spacing w:val="-3"/>
          <w:sz w:val="24"/>
          <w:szCs w:val="24"/>
          <w:lang w:eastAsia="zh-CN"/>
        </w:rPr>
        <w:t>承包人：（公章）</w:t>
      </w:r>
    </w:p>
    <w:p w14:paraId="145057D5">
      <w:pPr>
        <w:spacing w:before="181" w:line="359" w:lineRule="auto"/>
        <w:ind w:left="7" w:right="664" w:hanging="5"/>
        <w:rPr>
          <w:rFonts w:hint="eastAsia" w:ascii="宋体" w:hAnsi="宋体" w:eastAsia="宋体" w:cs="宋体"/>
          <w:sz w:val="24"/>
          <w:szCs w:val="24"/>
          <w:lang w:eastAsia="zh-CN"/>
        </w:rPr>
      </w:pPr>
      <w:r>
        <w:rPr>
          <w:rFonts w:ascii="宋体" w:hAnsi="宋体" w:eastAsia="宋体" w:cs="宋体"/>
          <w:spacing w:val="-6"/>
          <w:sz w:val="24"/>
          <w:szCs w:val="24"/>
          <w:lang w:eastAsia="zh-CN"/>
        </w:rPr>
        <w:t>法定代表人或其委托代理人：（签字）法定代表人或其委托代理人：（签字）</w:t>
      </w:r>
    </w:p>
    <w:p w14:paraId="69464EC2">
      <w:pPr>
        <w:spacing w:before="1" w:line="218" w:lineRule="auto"/>
        <w:ind w:left="140"/>
        <w:rPr>
          <w:rFonts w:hint="eastAsia" w:ascii="宋体" w:hAnsi="宋体" w:eastAsia="宋体" w:cs="宋体"/>
          <w:sz w:val="24"/>
          <w:szCs w:val="24"/>
          <w:lang w:eastAsia="zh-CN"/>
        </w:rPr>
      </w:pPr>
      <w:r>
        <w:rPr>
          <w:rFonts w:ascii="宋体" w:hAnsi="宋体" w:eastAsia="宋体" w:cs="宋体"/>
          <w:spacing w:val="-7"/>
          <w:sz w:val="24"/>
          <w:szCs w:val="24"/>
          <w:lang w:eastAsia="zh-CN"/>
        </w:rPr>
        <w:t>统一社会信用代码：统一社会信用代码：</w:t>
      </w:r>
    </w:p>
    <w:p w14:paraId="49485426">
      <w:pPr>
        <w:spacing w:before="184" w:line="229" w:lineRule="auto"/>
        <w:ind w:left="134" w:firstLine="210" w:firstLineChars="100"/>
        <w:rPr>
          <w:rFonts w:hint="eastAsia" w:ascii="宋体" w:hAnsi="宋体" w:eastAsia="宋体" w:cs="宋体"/>
          <w:sz w:val="24"/>
          <w:szCs w:val="24"/>
          <w:lang w:eastAsia="zh-CN"/>
        </w:rPr>
      </w:pPr>
      <w:r>
        <w:rPr>
          <w:rFonts w:ascii="宋体" w:hAnsi="宋体" w:eastAsia="宋体" w:cs="宋体"/>
          <w:spacing w:val="-15"/>
          <w:sz w:val="24"/>
          <w:szCs w:val="24"/>
          <w:lang w:eastAsia="zh-CN"/>
        </w:rPr>
        <w:t>地址：地址：</w:t>
      </w:r>
    </w:p>
    <w:p w14:paraId="76D11051">
      <w:pPr>
        <w:spacing w:before="170" w:line="220" w:lineRule="auto"/>
        <w:ind w:left="152" w:firstLine="212" w:firstLineChars="100"/>
        <w:rPr>
          <w:rFonts w:hint="eastAsia" w:ascii="宋体" w:hAnsi="宋体" w:eastAsia="宋体" w:cs="宋体"/>
          <w:sz w:val="24"/>
          <w:szCs w:val="24"/>
          <w:lang w:eastAsia="zh-CN"/>
        </w:rPr>
      </w:pPr>
      <w:r>
        <w:rPr>
          <w:rFonts w:ascii="宋体" w:hAnsi="宋体" w:eastAsia="宋体" w:cs="宋体"/>
          <w:spacing w:val="-14"/>
          <w:sz w:val="24"/>
          <w:szCs w:val="24"/>
          <w:lang w:eastAsia="zh-CN"/>
        </w:rPr>
        <w:t>邮政编码：邮政编码：</w:t>
      </w:r>
    </w:p>
    <w:p w14:paraId="4D6BDD73">
      <w:pPr>
        <w:spacing w:before="180" w:line="220" w:lineRule="auto"/>
        <w:ind w:left="135" w:firstLine="220" w:firstLineChars="100"/>
        <w:rPr>
          <w:rFonts w:hint="eastAsia" w:ascii="宋体" w:hAnsi="宋体" w:eastAsia="宋体" w:cs="宋体"/>
          <w:sz w:val="24"/>
          <w:szCs w:val="24"/>
        </w:rPr>
      </w:pPr>
      <w:r>
        <w:rPr>
          <w:rFonts w:ascii="宋体" w:hAnsi="宋体" w:eastAsia="宋体" w:cs="宋体"/>
          <w:spacing w:val="-10"/>
          <w:sz w:val="24"/>
          <w:szCs w:val="24"/>
        </w:rPr>
        <w:t>法定代表人：法定代表人：</w:t>
      </w:r>
    </w:p>
    <w:p w14:paraId="3E1B5F84">
      <w:pPr>
        <w:spacing w:before="182" w:line="220" w:lineRule="auto"/>
        <w:ind w:left="133" w:firstLine="222" w:firstLineChars="100"/>
        <w:rPr>
          <w:rFonts w:hint="eastAsia" w:ascii="宋体" w:hAnsi="宋体" w:eastAsia="宋体" w:cs="宋体"/>
          <w:sz w:val="24"/>
          <w:szCs w:val="24"/>
        </w:rPr>
      </w:pPr>
      <w:r>
        <w:rPr>
          <w:rFonts w:ascii="宋体" w:hAnsi="宋体" w:eastAsia="宋体" w:cs="宋体"/>
          <w:spacing w:val="-9"/>
          <w:sz w:val="24"/>
          <w:szCs w:val="24"/>
        </w:rPr>
        <w:t>委托代理人：委托代理人：</w:t>
      </w:r>
    </w:p>
    <w:p w14:paraId="3B2C2385">
      <w:pPr>
        <w:spacing w:before="180" w:line="222" w:lineRule="auto"/>
        <w:ind w:left="162" w:firstLine="198" w:firstLineChars="100"/>
        <w:rPr>
          <w:rFonts w:hint="eastAsia" w:ascii="宋体" w:hAnsi="宋体" w:eastAsia="宋体" w:cs="宋体"/>
          <w:sz w:val="24"/>
          <w:szCs w:val="24"/>
          <w:lang w:eastAsia="zh-CN"/>
        </w:rPr>
      </w:pPr>
      <w:r>
        <w:rPr>
          <w:rFonts w:ascii="宋体" w:hAnsi="宋体" w:eastAsia="宋体" w:cs="宋体"/>
          <w:spacing w:val="-21"/>
          <w:sz w:val="24"/>
          <w:szCs w:val="24"/>
          <w:lang w:eastAsia="zh-CN"/>
        </w:rPr>
        <w:t>电话：电话：</w:t>
      </w:r>
    </w:p>
    <w:p w14:paraId="275B739E">
      <w:pPr>
        <w:spacing w:before="179" w:line="185" w:lineRule="auto"/>
        <w:ind w:left="132" w:firstLine="212" w:firstLineChars="100"/>
        <w:rPr>
          <w:rFonts w:hint="eastAsia" w:ascii="宋体" w:hAnsi="宋体" w:eastAsia="宋体" w:cs="宋体"/>
          <w:spacing w:val="-14"/>
          <w:sz w:val="24"/>
          <w:szCs w:val="24"/>
          <w:lang w:eastAsia="zh-CN"/>
        </w:rPr>
      </w:pPr>
      <w:r>
        <w:rPr>
          <w:rFonts w:ascii="宋体" w:hAnsi="宋体" w:eastAsia="宋体" w:cs="宋体"/>
          <w:spacing w:val="-14"/>
          <w:sz w:val="24"/>
          <w:szCs w:val="24"/>
          <w:lang w:eastAsia="zh-CN"/>
        </w:rPr>
        <w:t>传真：传真：</w:t>
      </w:r>
    </w:p>
    <w:p w14:paraId="7A6F471E">
      <w:pPr>
        <w:spacing w:before="47" w:line="220" w:lineRule="auto"/>
        <w:ind w:firstLine="210" w:firstLineChars="100"/>
        <w:rPr>
          <w:rFonts w:hint="eastAsia" w:ascii="宋体" w:hAnsi="宋体" w:eastAsia="宋体" w:cs="宋体"/>
          <w:spacing w:val="-15"/>
          <w:sz w:val="24"/>
          <w:szCs w:val="24"/>
          <w:lang w:eastAsia="zh-CN"/>
        </w:rPr>
      </w:pPr>
      <w:r>
        <w:rPr>
          <w:rFonts w:ascii="宋体" w:hAnsi="宋体" w:eastAsia="宋体" w:cs="宋体"/>
          <w:spacing w:val="-15"/>
          <w:sz w:val="24"/>
          <w:szCs w:val="24"/>
          <w:lang w:eastAsia="zh-CN"/>
        </w:rPr>
        <w:t>电子信箱：电子信箱：</w:t>
      </w:r>
    </w:p>
    <w:p w14:paraId="1A08381F">
      <w:pPr>
        <w:spacing w:before="183" w:line="220" w:lineRule="auto"/>
        <w:ind w:firstLine="218" w:firstLineChars="100"/>
        <w:rPr>
          <w:rFonts w:hint="eastAsia" w:ascii="宋体" w:hAnsi="宋体" w:eastAsia="宋体" w:cs="宋体"/>
          <w:spacing w:val="-11"/>
          <w:sz w:val="24"/>
          <w:szCs w:val="24"/>
          <w:lang w:eastAsia="zh-CN"/>
        </w:rPr>
      </w:pPr>
      <w:r>
        <w:rPr>
          <w:rFonts w:ascii="宋体" w:hAnsi="宋体" w:eastAsia="宋体" w:cs="宋体"/>
          <w:spacing w:val="-11"/>
          <w:sz w:val="24"/>
          <w:szCs w:val="24"/>
          <w:lang w:eastAsia="zh-CN"/>
        </w:rPr>
        <w:t>开户银行：开户银行：</w:t>
      </w:r>
    </w:p>
    <w:p w14:paraId="485DB83B">
      <w:pPr>
        <w:spacing w:before="183" w:line="220" w:lineRule="auto"/>
        <w:ind w:firstLine="218" w:firstLineChars="100"/>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账号：账号：</w:t>
      </w:r>
    </w:p>
    <w:p w14:paraId="4E718766">
      <w:pPr>
        <w:spacing w:before="47" w:line="220" w:lineRule="auto"/>
        <w:ind w:firstLine="210" w:firstLineChars="100"/>
        <w:rPr>
          <w:rFonts w:hint="eastAsia" w:ascii="宋体" w:hAnsi="宋体" w:eastAsia="宋体" w:cs="宋体"/>
          <w:spacing w:val="-15"/>
          <w:sz w:val="24"/>
          <w:szCs w:val="24"/>
          <w:lang w:eastAsia="zh-CN"/>
        </w:rPr>
      </w:pPr>
    </w:p>
    <w:p w14:paraId="74643755">
      <w:pPr>
        <w:pStyle w:val="3"/>
        <w:spacing w:line="14" w:lineRule="auto"/>
        <w:jc w:val="both"/>
        <w:rPr>
          <w:sz w:val="2"/>
          <w:lang w:eastAsia="zh-CN"/>
        </w:rPr>
      </w:pPr>
      <w:r>
        <w:rPr>
          <w:sz w:val="2"/>
          <w:szCs w:val="2"/>
          <w:lang w:eastAsia="zh-CN"/>
        </w:rPr>
        <w:br w:type="column"/>
      </w:r>
    </w:p>
    <w:p w14:paraId="43ABAB91">
      <w:pPr>
        <w:pStyle w:val="3"/>
        <w:spacing w:line="14" w:lineRule="auto"/>
        <w:rPr>
          <w:sz w:val="2"/>
          <w:lang w:eastAsia="zh-CN"/>
        </w:rPr>
      </w:pPr>
    </w:p>
    <w:p w14:paraId="2BE1C4E6">
      <w:pPr>
        <w:spacing w:before="120" w:line="220" w:lineRule="auto"/>
        <w:ind w:left="2605"/>
        <w:outlineLvl w:val="1"/>
        <w:rPr>
          <w:rFonts w:hint="eastAsia" w:ascii="宋体" w:hAnsi="宋体" w:eastAsia="宋体" w:cs="宋体"/>
          <w:sz w:val="30"/>
          <w:szCs w:val="30"/>
          <w:lang w:eastAsia="zh-CN"/>
        </w:rPr>
      </w:pPr>
      <w:r>
        <w:rPr>
          <w:rFonts w:ascii="宋体" w:hAnsi="宋体" w:eastAsia="宋体" w:cs="宋体"/>
          <w:b/>
          <w:bCs/>
          <w:spacing w:val="-4"/>
          <w:sz w:val="30"/>
          <w:szCs w:val="30"/>
          <w:lang w:eastAsia="zh-CN"/>
        </w:rPr>
        <w:t>第二部分通用合同条件</w:t>
      </w:r>
    </w:p>
    <w:p w14:paraId="0F4B82A0">
      <w:pPr>
        <w:pStyle w:val="3"/>
        <w:spacing w:line="328" w:lineRule="auto"/>
        <w:rPr>
          <w:lang w:eastAsia="zh-CN"/>
        </w:rPr>
      </w:pPr>
    </w:p>
    <w:p w14:paraId="5EDEEA26">
      <w:pPr>
        <w:spacing w:before="78" w:line="360" w:lineRule="auto"/>
        <w:ind w:right="14" w:firstLine="479"/>
        <w:rPr>
          <w:rFonts w:hint="eastAsia" w:ascii="宋体" w:hAnsi="宋体" w:eastAsia="宋体" w:cs="宋体"/>
          <w:spacing w:val="-2"/>
          <w:sz w:val="24"/>
          <w:szCs w:val="24"/>
          <w:lang w:eastAsia="zh-CN"/>
        </w:rPr>
      </w:pPr>
      <w:r>
        <w:rPr>
          <w:rFonts w:ascii="宋体" w:hAnsi="宋体" w:eastAsia="宋体" w:cs="宋体"/>
          <w:spacing w:val="1"/>
          <w:sz w:val="24"/>
          <w:szCs w:val="24"/>
          <w:lang w:eastAsia="zh-CN"/>
        </w:rPr>
        <w:t>使用住房和城乡建设部、市场监管总局制定的《建设项目工程总承包合同(</w:t>
      </w:r>
      <w:r>
        <w:rPr>
          <w:rFonts w:ascii="宋体" w:hAnsi="宋体" w:eastAsia="宋体" w:cs="宋体"/>
          <w:spacing w:val="-1"/>
          <w:sz w:val="24"/>
          <w:szCs w:val="24"/>
          <w:lang w:eastAsia="zh-CN"/>
        </w:rPr>
        <w:t>示范文本）》（GF-2020-0216</w:t>
      </w:r>
      <w:r>
        <w:rPr>
          <w:rFonts w:ascii="宋体" w:hAnsi="宋体" w:eastAsia="宋体" w:cs="宋体"/>
          <w:spacing w:val="-2"/>
          <w:sz w:val="24"/>
          <w:szCs w:val="24"/>
          <w:lang w:eastAsia="zh-CN"/>
        </w:rPr>
        <w:t>）第二部分通用合同条件。</w:t>
      </w:r>
    </w:p>
    <w:p w14:paraId="28C98C39">
      <w:pPr>
        <w:spacing w:before="78" w:line="360" w:lineRule="auto"/>
        <w:ind w:right="14" w:firstLine="479"/>
        <w:rPr>
          <w:rFonts w:hint="eastAsia" w:ascii="宋体" w:hAnsi="宋体" w:eastAsia="宋体" w:cs="宋体"/>
          <w:spacing w:val="-2"/>
          <w:sz w:val="24"/>
          <w:szCs w:val="24"/>
          <w:lang w:eastAsia="zh-CN"/>
        </w:rPr>
      </w:pPr>
    </w:p>
    <w:p w14:paraId="57152712">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br w:type="page"/>
      </w:r>
    </w:p>
    <w:p w14:paraId="6188B880">
      <w:pPr>
        <w:spacing w:before="120" w:line="220" w:lineRule="auto"/>
        <w:ind w:left="2605"/>
        <w:outlineLvl w:val="1"/>
        <w:rPr>
          <w:rFonts w:hint="eastAsia" w:ascii="宋体" w:hAnsi="宋体" w:eastAsia="宋体" w:cs="宋体"/>
          <w:b/>
          <w:bCs/>
          <w:spacing w:val="-4"/>
          <w:sz w:val="30"/>
          <w:szCs w:val="30"/>
          <w:lang w:eastAsia="zh-CN"/>
        </w:rPr>
      </w:pPr>
      <w:r>
        <w:rPr>
          <w:rFonts w:ascii="宋体" w:hAnsi="宋体" w:eastAsia="宋体" w:cs="宋体"/>
          <w:b/>
          <w:bCs/>
          <w:spacing w:val="-4"/>
          <w:sz w:val="30"/>
          <w:szCs w:val="30"/>
          <w:lang w:eastAsia="zh-CN"/>
        </w:rPr>
        <w:t>第三部分专用合同条件</w:t>
      </w:r>
    </w:p>
    <w:p w14:paraId="551AF3F8">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第1条一般约定</w:t>
      </w:r>
    </w:p>
    <w:p w14:paraId="060E5966">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1.1词语定义和解释</w:t>
      </w:r>
    </w:p>
    <w:p w14:paraId="6F884B89">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1.1.1合同</w:t>
      </w:r>
    </w:p>
    <w:p w14:paraId="5AC6AA6C">
      <w:pPr>
        <w:spacing w:line="360" w:lineRule="auto"/>
        <w:ind w:right="86" w:firstLine="327"/>
        <w:jc w:val="both"/>
        <w:rPr>
          <w:rFonts w:hint="eastAsia" w:ascii="宋体" w:hAnsi="宋体" w:eastAsia="宋体" w:cs="宋体"/>
          <w:sz w:val="24"/>
          <w:szCs w:val="24"/>
          <w:lang w:eastAsia="zh-CN"/>
        </w:rPr>
      </w:pPr>
      <w:r>
        <w:fldChar w:fldCharType="begin"/>
      </w:r>
      <w:r>
        <w:instrText xml:space="preserve"> HYPERLINK "file:///C:\\Users\\BHC\\xwechat_files\\wxid_t60v0qpn2rz922_def9\\msg\\file\\2026-04\\1.1.1.10" </w:instrText>
      </w:r>
      <w:r>
        <w:fldChar w:fldCharType="separate"/>
      </w:r>
      <w:r>
        <w:rPr>
          <w:rFonts w:hint="eastAsia" w:ascii="宋体" w:hAnsi="宋体" w:eastAsia="宋体" w:cs="宋体"/>
          <w:spacing w:val="-1"/>
          <w:sz w:val="24"/>
          <w:szCs w:val="24"/>
          <w:lang w:eastAsia="zh-CN"/>
        </w:rPr>
        <w:t>1.1.1.10</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其他合同文件：</w:t>
      </w:r>
      <w:r>
        <w:rPr>
          <w:rFonts w:hint="eastAsia" w:ascii="宋体" w:hAnsi="宋体" w:eastAsia="宋体" w:cs="宋体"/>
          <w:spacing w:val="-1"/>
          <w:sz w:val="24"/>
          <w:szCs w:val="24"/>
          <w:u w:val="single"/>
          <w:lang w:eastAsia="zh-CN"/>
        </w:rPr>
        <w:t>招标文件、投标文件、经发包人批准的设计文件及实</w:t>
      </w:r>
      <w:r>
        <w:rPr>
          <w:rFonts w:hint="eastAsia" w:ascii="宋体" w:hAnsi="宋体" w:eastAsia="宋体" w:cs="宋体"/>
          <w:spacing w:val="-2"/>
          <w:sz w:val="24"/>
          <w:szCs w:val="24"/>
          <w:u w:val="single"/>
          <w:lang w:eastAsia="zh-CN"/>
        </w:rPr>
        <w:t>施组织设</w:t>
      </w:r>
      <w:r>
        <w:rPr>
          <w:rFonts w:hint="eastAsia" w:ascii="宋体" w:hAnsi="宋体" w:eastAsia="宋体" w:cs="宋体"/>
          <w:spacing w:val="-1"/>
          <w:sz w:val="24"/>
          <w:szCs w:val="24"/>
          <w:u w:val="single"/>
          <w:lang w:eastAsia="zh-CN"/>
        </w:rPr>
        <w:t>计等相关文件、履行合同过程中双方书面确认的对合同内容有实质性影响的会议纪要、签证、设计变更等资料。</w:t>
      </w:r>
    </w:p>
    <w:p w14:paraId="1284E18E">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1.1.3工程和设备</w:t>
      </w:r>
    </w:p>
    <w:p w14:paraId="0ECDC2C8">
      <w:pPr>
        <w:spacing w:line="360" w:lineRule="auto"/>
        <w:ind w:left="328"/>
        <w:rPr>
          <w:rFonts w:hint="eastAsia" w:ascii="宋体" w:hAnsi="宋体" w:eastAsia="宋体" w:cs="宋体"/>
          <w:sz w:val="24"/>
          <w:szCs w:val="24"/>
          <w:lang w:eastAsia="zh-CN"/>
        </w:rPr>
      </w:pPr>
      <w:r>
        <w:fldChar w:fldCharType="begin"/>
      </w:r>
      <w:r>
        <w:instrText xml:space="preserve"> HYPERLINK "file:///C:\\Users\\BHC\\xwechat_files\\wxid_t60v0qpn2rz922_def9\\msg\\file\\2026-04\\1.1.3.5" </w:instrText>
      </w:r>
      <w:r>
        <w:fldChar w:fldCharType="separate"/>
      </w:r>
      <w:r>
        <w:rPr>
          <w:rFonts w:hint="eastAsia" w:ascii="宋体" w:hAnsi="宋体" w:eastAsia="宋体" w:cs="宋体"/>
          <w:spacing w:val="-1"/>
          <w:sz w:val="24"/>
          <w:szCs w:val="24"/>
          <w:lang w:eastAsia="zh-CN"/>
        </w:rPr>
        <w:t>1.1.3.5</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单位/区段工程的范围：</w:t>
      </w:r>
      <w:r>
        <w:rPr>
          <w:rFonts w:hint="eastAsia" w:ascii="宋体" w:hAnsi="宋体" w:eastAsia="宋体" w:cs="宋体"/>
          <w:spacing w:val="-1"/>
          <w:sz w:val="24"/>
          <w:szCs w:val="24"/>
          <w:u w:val="single"/>
          <w:lang w:eastAsia="zh-CN"/>
        </w:rPr>
        <w:t>/。</w:t>
      </w:r>
    </w:p>
    <w:p w14:paraId="06B61CFF">
      <w:pPr>
        <w:spacing w:line="360" w:lineRule="auto"/>
        <w:ind w:left="328"/>
        <w:rPr>
          <w:rFonts w:hint="eastAsia" w:ascii="宋体" w:hAnsi="宋体" w:eastAsia="宋体" w:cs="宋体"/>
          <w:sz w:val="24"/>
          <w:szCs w:val="24"/>
          <w:lang w:eastAsia="zh-CN"/>
        </w:rPr>
      </w:pPr>
      <w:r>
        <w:fldChar w:fldCharType="begin"/>
      </w:r>
      <w:r>
        <w:instrText xml:space="preserve"> HYPERLINK "file:///C:\\Users\\BHC\\xwechat_files\\wxid_t60v0qpn2rz922_def9\\msg\\file\\2026-04\\1.1.3.9" </w:instrText>
      </w:r>
      <w:r>
        <w:fldChar w:fldCharType="separate"/>
      </w:r>
      <w:r>
        <w:rPr>
          <w:rFonts w:hint="eastAsia" w:ascii="宋体" w:hAnsi="宋体" w:eastAsia="宋体" w:cs="宋体"/>
          <w:spacing w:val="-1"/>
          <w:sz w:val="24"/>
          <w:szCs w:val="24"/>
          <w:lang w:eastAsia="zh-CN"/>
        </w:rPr>
        <w:t>1.1.3.9</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作为施工场所组成部分的其他场所包括：</w:t>
      </w:r>
      <w:r>
        <w:rPr>
          <w:rFonts w:hint="eastAsia" w:ascii="宋体" w:hAnsi="宋体" w:eastAsia="宋体" w:cs="宋体"/>
          <w:spacing w:val="-1"/>
          <w:sz w:val="24"/>
          <w:szCs w:val="24"/>
          <w:u w:val="single"/>
          <w:lang w:eastAsia="zh-CN"/>
        </w:rPr>
        <w:t>/。</w:t>
      </w:r>
    </w:p>
    <w:p w14:paraId="138307CE">
      <w:pPr>
        <w:spacing w:line="360" w:lineRule="auto"/>
        <w:ind w:left="328"/>
        <w:rPr>
          <w:rFonts w:hint="eastAsia" w:ascii="宋体" w:hAnsi="宋体" w:eastAsia="宋体" w:cs="宋体"/>
          <w:sz w:val="24"/>
          <w:szCs w:val="24"/>
          <w:lang w:eastAsia="zh-CN"/>
        </w:rPr>
      </w:pPr>
      <w:r>
        <w:fldChar w:fldCharType="begin"/>
      </w:r>
      <w:r>
        <w:instrText xml:space="preserve"> HYPERLINK "file:///C:\\Users\\BHC\\xwechat_files\\wxid_t60v0qpn2rz922_def9\\msg\\file\\2026-04\\1.1.3.10" </w:instrText>
      </w:r>
      <w:r>
        <w:fldChar w:fldCharType="separate"/>
      </w:r>
      <w:r>
        <w:rPr>
          <w:rFonts w:hint="eastAsia" w:ascii="宋体" w:hAnsi="宋体" w:eastAsia="宋体" w:cs="宋体"/>
          <w:spacing w:val="-1"/>
          <w:sz w:val="24"/>
          <w:szCs w:val="24"/>
          <w:lang w:eastAsia="zh-CN"/>
        </w:rPr>
        <w:t>1.1.3.10</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永久占地包括：</w:t>
      </w:r>
      <w:r>
        <w:rPr>
          <w:rFonts w:hint="eastAsia" w:ascii="宋体" w:hAnsi="宋体" w:eastAsia="宋体" w:cs="宋体"/>
          <w:spacing w:val="-1"/>
          <w:sz w:val="24"/>
          <w:szCs w:val="24"/>
          <w:u w:val="single"/>
          <w:lang w:eastAsia="zh-CN"/>
        </w:rPr>
        <w:t>指发包人为建设本合同工程永久占用的场地。</w:t>
      </w:r>
    </w:p>
    <w:p w14:paraId="24CF20E9">
      <w:pPr>
        <w:spacing w:line="360" w:lineRule="auto"/>
        <w:ind w:right="86" w:firstLine="327"/>
        <w:rPr>
          <w:rFonts w:hint="eastAsia" w:ascii="宋体" w:hAnsi="宋体" w:eastAsia="宋体" w:cs="宋体"/>
          <w:sz w:val="24"/>
          <w:szCs w:val="24"/>
          <w:lang w:eastAsia="zh-CN"/>
        </w:rPr>
      </w:pPr>
      <w:r>
        <w:fldChar w:fldCharType="begin"/>
      </w:r>
      <w:r>
        <w:instrText xml:space="preserve"> HYPERLINK "file:///C:\\Users\\BHC\\xwechat_files\\wxid_t60v0qpn2rz922_def9\\msg\\file\\2026-04\\1.1.3.11" </w:instrText>
      </w:r>
      <w:r>
        <w:fldChar w:fldCharType="separate"/>
      </w:r>
      <w:r>
        <w:rPr>
          <w:rFonts w:hint="eastAsia" w:ascii="宋体" w:hAnsi="宋体" w:eastAsia="宋体" w:cs="宋体"/>
          <w:sz w:val="24"/>
          <w:szCs w:val="24"/>
          <w:lang w:eastAsia="zh-CN"/>
        </w:rPr>
        <w:t>1.1.3.11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临时占地包括：</w:t>
      </w:r>
      <w:r>
        <w:rPr>
          <w:rFonts w:hint="eastAsia" w:ascii="宋体" w:hAnsi="宋体" w:eastAsia="宋体" w:cs="宋体"/>
          <w:sz w:val="24"/>
          <w:szCs w:val="24"/>
          <w:u w:val="single"/>
          <w:lang w:eastAsia="zh-CN"/>
        </w:rPr>
        <w:t>指为建设本</w:t>
      </w:r>
      <w:r>
        <w:rPr>
          <w:rFonts w:hint="eastAsia" w:ascii="宋体" w:hAnsi="宋体" w:eastAsia="宋体" w:cs="宋体"/>
          <w:spacing w:val="-1"/>
          <w:sz w:val="24"/>
          <w:szCs w:val="24"/>
          <w:u w:val="single"/>
          <w:lang w:eastAsia="zh-CN"/>
        </w:rPr>
        <w:t>合同工程临时征用，承包人在完工后须按合同要求退还的场地。临时占地所涉及的费用，包括但不限于：租金、复垦、善后处理等费用均由</w:t>
      </w:r>
      <w:r>
        <w:rPr>
          <w:rFonts w:hint="eastAsia" w:ascii="宋体" w:hAnsi="宋体" w:eastAsia="宋体" w:cs="宋体"/>
          <w:sz w:val="24"/>
          <w:szCs w:val="24"/>
          <w:u w:val="single"/>
          <w:lang w:eastAsia="zh-CN"/>
        </w:rPr>
        <w:t>承包人承担并办理相关手续（发包人仅提供必要</w:t>
      </w:r>
      <w:r>
        <w:rPr>
          <w:rFonts w:hint="eastAsia" w:ascii="宋体" w:hAnsi="宋体" w:eastAsia="宋体" w:cs="宋体"/>
          <w:spacing w:val="-1"/>
          <w:sz w:val="24"/>
          <w:szCs w:val="24"/>
          <w:u w:val="single"/>
          <w:lang w:eastAsia="zh-CN"/>
        </w:rPr>
        <w:t>协助）</w:t>
      </w:r>
    </w:p>
    <w:p w14:paraId="392E5187">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1.2语言文字</w:t>
      </w:r>
    </w:p>
    <w:p w14:paraId="40FA7B70">
      <w:pPr>
        <w:spacing w:line="360" w:lineRule="auto"/>
        <w:ind w:left="31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本合同除使用汉语外，还使用</w:t>
      </w:r>
      <w:r>
        <w:rPr>
          <w:rFonts w:hint="eastAsia" w:ascii="宋体" w:hAnsi="宋体" w:eastAsia="宋体" w:cs="宋体"/>
          <w:spacing w:val="-1"/>
          <w:sz w:val="24"/>
          <w:szCs w:val="24"/>
          <w:u w:val="single"/>
          <w:lang w:eastAsia="zh-CN"/>
        </w:rPr>
        <w:t>/</w:t>
      </w:r>
      <w:r>
        <w:rPr>
          <w:rFonts w:hint="eastAsia" w:ascii="宋体" w:hAnsi="宋体" w:eastAsia="宋体" w:cs="宋体"/>
          <w:spacing w:val="-2"/>
          <w:sz w:val="24"/>
          <w:szCs w:val="24"/>
          <w:lang w:eastAsia="zh-CN"/>
        </w:rPr>
        <w:t>语言。</w:t>
      </w:r>
    </w:p>
    <w:p w14:paraId="645E57E5">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1.3法律</w:t>
      </w:r>
    </w:p>
    <w:p w14:paraId="125ECEBA">
      <w:pPr>
        <w:spacing w:line="360" w:lineRule="auto"/>
        <w:ind w:left="24" w:right="91" w:firstLine="28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适用于合同的其他规范性文件：</w:t>
      </w:r>
      <w:r>
        <w:rPr>
          <w:rFonts w:hint="eastAsia" w:ascii="宋体" w:hAnsi="宋体" w:eastAsia="宋体" w:cs="宋体"/>
          <w:spacing w:val="-4"/>
          <w:sz w:val="24"/>
          <w:szCs w:val="24"/>
          <w:u w:val="single"/>
          <w:lang w:eastAsia="zh-CN"/>
        </w:rPr>
        <w:t>现行建设工程管理相关法律、法规、规范性文件、规定，</w:t>
      </w:r>
      <w:r>
        <w:rPr>
          <w:rFonts w:hint="eastAsia" w:ascii="宋体" w:hAnsi="宋体" w:eastAsia="宋体" w:cs="宋体"/>
          <w:spacing w:val="-2"/>
          <w:sz w:val="24"/>
          <w:szCs w:val="24"/>
          <w:u w:val="single"/>
          <w:lang w:eastAsia="zh-CN"/>
        </w:rPr>
        <w:t>以及六安市和霍邱县相关部门有关规定。</w:t>
      </w:r>
    </w:p>
    <w:p w14:paraId="5A2D6393">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1.4标准和规范</w:t>
      </w:r>
    </w:p>
    <w:p w14:paraId="1A51EC7A">
      <w:pPr>
        <w:spacing w:line="360" w:lineRule="auto"/>
        <w:ind w:right="160" w:firstLine="328"/>
        <w:rPr>
          <w:rFonts w:hint="eastAsia" w:ascii="宋体" w:hAnsi="宋体" w:eastAsia="宋体" w:cs="宋体"/>
          <w:sz w:val="24"/>
          <w:szCs w:val="24"/>
          <w:lang w:eastAsia="zh-CN"/>
        </w:rPr>
      </w:pPr>
      <w:r>
        <w:rPr>
          <w:rFonts w:hint="eastAsia" w:ascii="宋体" w:hAnsi="宋体" w:eastAsia="宋体" w:cs="宋体"/>
          <w:sz w:val="24"/>
          <w:szCs w:val="24"/>
          <w:lang w:eastAsia="zh-CN"/>
        </w:rPr>
        <w:t>1.4.1适用于本合同的标准、规范（名称）包括</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现行的国家、省、市、县及行业建设施工、验收及清单计价规范</w:t>
      </w:r>
    </w:p>
    <w:p w14:paraId="53E9B147">
      <w:pPr>
        <w:spacing w:line="360" w:lineRule="auto"/>
        <w:ind w:right="86" w:firstLine="32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1.4.2发包人提供的国外标准、规范的名称：</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发包人提供的国外标准、规</w:t>
      </w:r>
      <w:r>
        <w:rPr>
          <w:rFonts w:hint="eastAsia" w:ascii="宋体" w:hAnsi="宋体" w:eastAsia="宋体" w:cs="宋体"/>
          <w:spacing w:val="-2"/>
          <w:sz w:val="24"/>
          <w:szCs w:val="24"/>
          <w:lang w:eastAsia="zh-CN"/>
        </w:rPr>
        <w:t>范的</w:t>
      </w:r>
      <w:r>
        <w:rPr>
          <w:rFonts w:hint="eastAsia" w:ascii="宋体" w:hAnsi="宋体" w:eastAsia="宋体" w:cs="宋体"/>
          <w:sz w:val="24"/>
          <w:szCs w:val="24"/>
          <w:lang w:eastAsia="zh-CN"/>
        </w:rPr>
        <w:t>份数：</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发包人提供的国外标准、规范的时间：</w:t>
      </w:r>
      <w:r>
        <w:rPr>
          <w:rFonts w:hint="eastAsia" w:ascii="宋体" w:hAnsi="宋体" w:eastAsia="宋体" w:cs="宋体"/>
          <w:spacing w:val="-1"/>
          <w:sz w:val="24"/>
          <w:szCs w:val="24"/>
          <w:u w:val="single"/>
          <w:lang w:eastAsia="zh-CN"/>
        </w:rPr>
        <w:t>/。</w:t>
      </w:r>
    </w:p>
    <w:p w14:paraId="4742CA08">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1.4.3没有成文规范、标准规定的约定：</w:t>
      </w:r>
      <w:r>
        <w:rPr>
          <w:rFonts w:hint="eastAsia" w:ascii="宋体" w:hAnsi="宋体" w:eastAsia="宋体" w:cs="宋体"/>
          <w:spacing w:val="-1"/>
          <w:sz w:val="24"/>
          <w:szCs w:val="24"/>
          <w:u w:val="single"/>
          <w:lang w:eastAsia="zh-CN"/>
        </w:rPr>
        <w:t>/。</w:t>
      </w:r>
    </w:p>
    <w:p w14:paraId="684D7B8E">
      <w:pPr>
        <w:spacing w:line="360" w:lineRule="auto"/>
        <w:ind w:left="1" w:right="94" w:firstLine="32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1.4.4发包人对于工程的技术标准、功能要求：</w:t>
      </w:r>
      <w:r>
        <w:rPr>
          <w:rFonts w:hint="eastAsia" w:ascii="宋体" w:hAnsi="宋体" w:eastAsia="宋体" w:cs="宋体"/>
          <w:spacing w:val="-1"/>
          <w:sz w:val="24"/>
          <w:szCs w:val="24"/>
          <w:u w:val="single"/>
          <w:lang w:eastAsia="zh-CN"/>
        </w:rPr>
        <w:t>需同时满</w:t>
      </w:r>
      <w:r>
        <w:rPr>
          <w:rFonts w:hint="eastAsia" w:ascii="宋体" w:hAnsi="宋体" w:eastAsia="宋体" w:cs="宋体"/>
          <w:spacing w:val="-2"/>
          <w:sz w:val="24"/>
          <w:szCs w:val="24"/>
          <w:u w:val="single"/>
          <w:lang w:eastAsia="zh-CN"/>
        </w:rPr>
        <w:t>足（1）现行的国家、行业、地</w:t>
      </w:r>
      <w:r>
        <w:rPr>
          <w:rFonts w:hint="eastAsia" w:ascii="宋体" w:hAnsi="宋体" w:eastAsia="宋体" w:cs="宋体"/>
          <w:sz w:val="24"/>
          <w:szCs w:val="24"/>
          <w:u w:val="single"/>
          <w:lang w:eastAsia="zh-CN"/>
        </w:rPr>
        <w:t>方标准、相应的规范</w:t>
      </w:r>
      <w:r>
        <w:rPr>
          <w:rFonts w:hint="eastAsia" w:ascii="宋体" w:hAnsi="宋体" w:eastAsia="宋体" w:cs="宋体"/>
          <w:spacing w:val="-8"/>
          <w:sz w:val="24"/>
          <w:szCs w:val="24"/>
          <w:u w:val="single"/>
          <w:lang w:eastAsia="zh-CN"/>
        </w:rPr>
        <w:t>；（</w:t>
      </w:r>
      <w:r>
        <w:rPr>
          <w:rFonts w:hint="eastAsia" w:ascii="宋体" w:hAnsi="宋体" w:eastAsia="宋体" w:cs="宋体"/>
          <w:sz w:val="24"/>
          <w:szCs w:val="24"/>
          <w:u w:val="single"/>
          <w:lang w:eastAsia="zh-CN"/>
        </w:rPr>
        <w:t>2）技术规范书、本次项目招标文件中《招标人要求》等</w:t>
      </w:r>
      <w:r>
        <w:rPr>
          <w:rFonts w:hint="eastAsia" w:ascii="宋体" w:hAnsi="宋体" w:eastAsia="宋体" w:cs="宋体"/>
          <w:sz w:val="24"/>
          <w:szCs w:val="24"/>
          <w:lang w:eastAsia="zh-CN"/>
        </w:rPr>
        <w:t>。</w:t>
      </w:r>
    </w:p>
    <w:p w14:paraId="7F89F0F1">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1.5合同文件的优先顺序</w:t>
      </w:r>
    </w:p>
    <w:p w14:paraId="69ED3F24">
      <w:pPr>
        <w:spacing w:line="360" w:lineRule="auto"/>
        <w:ind w:left="1" w:firstLine="31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合同文件组成及优先顺序为</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u w:val="single"/>
          <w:lang w:eastAsia="zh-CN"/>
        </w:rPr>
        <w:t>（</w:t>
      </w:r>
      <w:r>
        <w:rPr>
          <w:rFonts w:hint="eastAsia" w:ascii="宋体" w:hAnsi="宋体" w:eastAsia="宋体" w:cs="宋体"/>
          <w:spacing w:val="3"/>
          <w:sz w:val="24"/>
          <w:szCs w:val="24"/>
          <w:u w:val="single"/>
          <w:lang w:eastAsia="zh-CN"/>
        </w:rPr>
        <w:t>1）本合同协议书</w:t>
      </w:r>
      <w:r>
        <w:rPr>
          <w:rFonts w:hint="eastAsia" w:ascii="宋体" w:hAnsi="宋体" w:eastAsia="宋体" w:cs="宋体"/>
          <w:spacing w:val="-14"/>
          <w:sz w:val="24"/>
          <w:szCs w:val="24"/>
          <w:u w:val="single"/>
          <w:lang w:eastAsia="zh-CN"/>
        </w:rPr>
        <w:t>；（</w:t>
      </w:r>
      <w:r>
        <w:rPr>
          <w:rFonts w:hint="eastAsia" w:ascii="宋体" w:hAnsi="宋体" w:eastAsia="宋体" w:cs="宋体"/>
          <w:spacing w:val="3"/>
          <w:sz w:val="24"/>
          <w:szCs w:val="24"/>
          <w:u w:val="single"/>
          <w:lang w:eastAsia="zh-CN"/>
        </w:rPr>
        <w:t>2）中标通知书（如果</w:t>
      </w:r>
      <w:r>
        <w:rPr>
          <w:rFonts w:hint="eastAsia" w:ascii="宋体" w:hAnsi="宋体" w:eastAsia="宋体" w:cs="宋体"/>
          <w:spacing w:val="2"/>
          <w:sz w:val="24"/>
          <w:szCs w:val="24"/>
          <w:u w:val="single"/>
          <w:lang w:eastAsia="zh-CN"/>
        </w:rPr>
        <w:t>有</w:t>
      </w:r>
      <w:r>
        <w:rPr>
          <w:rFonts w:hint="eastAsia" w:ascii="宋体" w:hAnsi="宋体" w:eastAsia="宋体" w:cs="宋体"/>
          <w:spacing w:val="-14"/>
          <w:sz w:val="24"/>
          <w:szCs w:val="24"/>
          <w:u w:val="single"/>
          <w:lang w:eastAsia="zh-CN"/>
        </w:rPr>
        <w:t>）；（</w:t>
      </w:r>
      <w:r>
        <w:rPr>
          <w:rFonts w:hint="eastAsia" w:ascii="宋体" w:hAnsi="宋体" w:eastAsia="宋体" w:cs="宋体"/>
          <w:spacing w:val="2"/>
          <w:sz w:val="24"/>
          <w:szCs w:val="24"/>
          <w:u w:val="single"/>
          <w:lang w:eastAsia="zh-CN"/>
        </w:rPr>
        <w:t>3）</w:t>
      </w:r>
      <w:r>
        <w:rPr>
          <w:rFonts w:hint="eastAsia" w:ascii="宋体" w:hAnsi="宋体" w:eastAsia="宋体" w:cs="宋体"/>
          <w:spacing w:val="1"/>
          <w:sz w:val="24"/>
          <w:szCs w:val="24"/>
          <w:u w:val="single"/>
          <w:lang w:eastAsia="zh-CN"/>
        </w:rPr>
        <w:t>投标函及投标函附录（如果有</w:t>
      </w:r>
      <w:r>
        <w:rPr>
          <w:rFonts w:hint="eastAsia" w:ascii="宋体" w:hAnsi="宋体" w:eastAsia="宋体" w:cs="宋体"/>
          <w:spacing w:val="-15"/>
          <w:sz w:val="24"/>
          <w:szCs w:val="24"/>
          <w:u w:val="single"/>
          <w:lang w:eastAsia="zh-CN"/>
        </w:rPr>
        <w:t>）；（</w:t>
      </w:r>
      <w:r>
        <w:rPr>
          <w:rFonts w:hint="eastAsia" w:ascii="宋体" w:hAnsi="宋体" w:eastAsia="宋体" w:cs="宋体"/>
          <w:spacing w:val="1"/>
          <w:sz w:val="24"/>
          <w:szCs w:val="24"/>
          <w:u w:val="single"/>
          <w:lang w:eastAsia="zh-CN"/>
        </w:rPr>
        <w:t>4）专用合同条件及《发包人要求》等附件</w:t>
      </w:r>
      <w:r>
        <w:rPr>
          <w:rFonts w:hint="eastAsia" w:ascii="宋体" w:hAnsi="宋体" w:eastAsia="宋体" w:cs="宋体"/>
          <w:spacing w:val="-15"/>
          <w:sz w:val="24"/>
          <w:szCs w:val="24"/>
          <w:u w:val="single"/>
          <w:lang w:eastAsia="zh-CN"/>
        </w:rPr>
        <w:t>；（</w:t>
      </w:r>
      <w:r>
        <w:rPr>
          <w:rFonts w:hint="eastAsia" w:ascii="宋体" w:hAnsi="宋体" w:eastAsia="宋体" w:cs="宋体"/>
          <w:spacing w:val="1"/>
          <w:sz w:val="24"/>
          <w:szCs w:val="24"/>
          <w:u w:val="single"/>
          <w:lang w:eastAsia="zh-CN"/>
        </w:rPr>
        <w:t>5）通用</w:t>
      </w:r>
      <w:r>
        <w:rPr>
          <w:rFonts w:hint="eastAsia" w:ascii="宋体" w:hAnsi="宋体" w:eastAsia="宋体" w:cs="宋体"/>
          <w:spacing w:val="3"/>
          <w:sz w:val="24"/>
          <w:szCs w:val="24"/>
          <w:u w:val="single"/>
          <w:lang w:eastAsia="zh-CN"/>
        </w:rPr>
        <w:t>合同条件</w:t>
      </w:r>
      <w:r>
        <w:rPr>
          <w:rFonts w:hint="eastAsia" w:ascii="宋体" w:hAnsi="宋体" w:eastAsia="宋体" w:cs="宋体"/>
          <w:spacing w:val="-16"/>
          <w:sz w:val="24"/>
          <w:szCs w:val="24"/>
          <w:u w:val="single"/>
          <w:lang w:eastAsia="zh-CN"/>
        </w:rPr>
        <w:t>；（</w:t>
      </w:r>
      <w:r>
        <w:rPr>
          <w:rFonts w:hint="eastAsia" w:ascii="宋体" w:hAnsi="宋体" w:eastAsia="宋体" w:cs="宋体"/>
          <w:spacing w:val="3"/>
          <w:sz w:val="24"/>
          <w:szCs w:val="24"/>
          <w:u w:val="single"/>
          <w:lang w:eastAsia="zh-CN"/>
        </w:rPr>
        <w:t>6）承包人建议书</w:t>
      </w:r>
      <w:r>
        <w:rPr>
          <w:rFonts w:hint="eastAsia" w:ascii="宋体" w:hAnsi="宋体" w:eastAsia="宋体" w:cs="宋体"/>
          <w:spacing w:val="-16"/>
          <w:sz w:val="24"/>
          <w:szCs w:val="24"/>
          <w:u w:val="single"/>
          <w:lang w:eastAsia="zh-CN"/>
        </w:rPr>
        <w:t>；（</w:t>
      </w:r>
      <w:r>
        <w:rPr>
          <w:rFonts w:hint="eastAsia" w:ascii="宋体" w:hAnsi="宋体" w:eastAsia="宋体" w:cs="宋体"/>
          <w:spacing w:val="3"/>
          <w:sz w:val="24"/>
          <w:szCs w:val="24"/>
          <w:u w:val="single"/>
          <w:lang w:eastAsia="zh-CN"/>
        </w:rPr>
        <w:t>7）价格清单</w:t>
      </w:r>
      <w:r>
        <w:rPr>
          <w:rFonts w:hint="eastAsia" w:ascii="宋体" w:hAnsi="宋体" w:eastAsia="宋体" w:cs="宋体"/>
          <w:spacing w:val="-16"/>
          <w:sz w:val="24"/>
          <w:szCs w:val="24"/>
          <w:u w:val="single"/>
          <w:lang w:eastAsia="zh-CN"/>
        </w:rPr>
        <w:t>；（</w:t>
      </w:r>
      <w:r>
        <w:rPr>
          <w:rFonts w:hint="eastAsia" w:ascii="宋体" w:hAnsi="宋体" w:eastAsia="宋体" w:cs="宋体"/>
          <w:spacing w:val="3"/>
          <w:sz w:val="24"/>
          <w:szCs w:val="24"/>
          <w:u w:val="single"/>
          <w:lang w:eastAsia="zh-CN"/>
        </w:rPr>
        <w:t>8</w:t>
      </w:r>
      <w:r>
        <w:rPr>
          <w:rFonts w:hint="eastAsia" w:ascii="宋体" w:hAnsi="宋体" w:eastAsia="宋体" w:cs="宋体"/>
          <w:spacing w:val="2"/>
          <w:sz w:val="24"/>
          <w:szCs w:val="24"/>
          <w:u w:val="single"/>
          <w:lang w:eastAsia="zh-CN"/>
        </w:rPr>
        <w:t>）双方约定的其他合同文件。</w:t>
      </w:r>
    </w:p>
    <w:p w14:paraId="4D9C3001">
      <w:pPr>
        <w:spacing w:line="360" w:lineRule="auto"/>
        <w:ind w:left="2" w:right="161" w:firstLine="311"/>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合同履行过程中双方就有关工程洽商、变更达成的书面协议或文件，属于同一类内</w:t>
      </w:r>
      <w:r>
        <w:rPr>
          <w:rFonts w:hint="eastAsia" w:ascii="宋体" w:hAnsi="宋体" w:eastAsia="宋体" w:cs="宋体"/>
          <w:spacing w:val="-1"/>
          <w:sz w:val="24"/>
          <w:szCs w:val="24"/>
          <w:u w:val="single"/>
          <w:lang w:eastAsia="zh-CN"/>
        </w:rPr>
        <w:t>容的文件以最新签署的为准。</w:t>
      </w:r>
    </w:p>
    <w:p w14:paraId="7BEA6DBA">
      <w:pPr>
        <w:spacing w:line="360" w:lineRule="auto"/>
        <w:ind w:left="32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1.6文件的提供和照管</w:t>
      </w:r>
    </w:p>
    <w:p w14:paraId="6B8070D4">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1.6.1发包人文件的提供</w:t>
      </w:r>
    </w:p>
    <w:p w14:paraId="39756363">
      <w:pPr>
        <w:spacing w:line="360" w:lineRule="auto"/>
        <w:ind w:left="316"/>
        <w:rPr>
          <w:rFonts w:hint="eastAsia" w:ascii="宋体" w:hAnsi="宋体" w:eastAsia="宋体" w:cs="宋体"/>
          <w:sz w:val="24"/>
          <w:szCs w:val="24"/>
          <w:lang w:eastAsia="zh-CN"/>
        </w:rPr>
      </w:pPr>
      <w:r>
        <w:rPr>
          <w:rFonts w:hint="eastAsia" w:ascii="宋体" w:hAnsi="宋体" w:eastAsia="宋体" w:cs="宋体"/>
          <w:sz w:val="24"/>
          <w:szCs w:val="24"/>
          <w:lang w:eastAsia="zh-CN"/>
        </w:rPr>
        <w:t>发包人文件的提供期限、名称、数量和形式</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执行通用条款。</w:t>
      </w:r>
    </w:p>
    <w:p w14:paraId="677295DE">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1.6.2承包人文件的提供</w:t>
      </w:r>
    </w:p>
    <w:p w14:paraId="31EC5BBD">
      <w:pPr>
        <w:spacing w:line="360" w:lineRule="auto"/>
        <w:ind w:left="312"/>
        <w:rPr>
          <w:rFonts w:hint="eastAsia" w:ascii="宋体" w:hAnsi="宋体" w:eastAsia="宋体" w:cs="宋体"/>
          <w:sz w:val="24"/>
          <w:szCs w:val="24"/>
          <w:lang w:eastAsia="zh-CN"/>
        </w:rPr>
      </w:pPr>
      <w:r>
        <w:rPr>
          <w:rFonts w:hint="eastAsia" w:ascii="宋体" w:hAnsi="宋体" w:eastAsia="宋体" w:cs="宋体"/>
          <w:sz w:val="24"/>
          <w:szCs w:val="24"/>
          <w:lang w:eastAsia="zh-CN"/>
        </w:rPr>
        <w:t>承包人文件的内容、提供期限、名称、数量和形式：</w:t>
      </w:r>
      <w:r>
        <w:rPr>
          <w:rFonts w:hint="eastAsia" w:ascii="宋体" w:hAnsi="宋体" w:eastAsia="宋体" w:cs="宋体"/>
          <w:sz w:val="24"/>
          <w:szCs w:val="24"/>
          <w:u w:val="single"/>
          <w:lang w:eastAsia="zh-CN"/>
        </w:rPr>
        <w:t>执行</w:t>
      </w:r>
      <w:r>
        <w:rPr>
          <w:rFonts w:hint="eastAsia" w:ascii="宋体" w:hAnsi="宋体" w:eastAsia="宋体" w:cs="宋体"/>
          <w:spacing w:val="-1"/>
          <w:sz w:val="24"/>
          <w:szCs w:val="24"/>
          <w:u w:val="single"/>
          <w:lang w:eastAsia="zh-CN"/>
        </w:rPr>
        <w:t>通用条款。</w:t>
      </w:r>
    </w:p>
    <w:p w14:paraId="53881F53">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1.6.4文件的照管</w:t>
      </w:r>
    </w:p>
    <w:p w14:paraId="28269FCD">
      <w:pPr>
        <w:spacing w:line="360" w:lineRule="auto"/>
        <w:ind w:right="43" w:firstLine="315"/>
        <w:rPr>
          <w:rFonts w:hint="eastAsia" w:ascii="宋体" w:hAnsi="宋体" w:eastAsia="宋体" w:cs="宋体"/>
          <w:sz w:val="24"/>
          <w:szCs w:val="24"/>
          <w:lang w:eastAsia="zh-CN"/>
        </w:rPr>
      </w:pPr>
      <w:r>
        <w:rPr>
          <w:rFonts w:hint="eastAsia" w:ascii="宋体" w:hAnsi="宋体" w:eastAsia="宋体" w:cs="宋体"/>
          <w:sz w:val="24"/>
          <w:szCs w:val="24"/>
          <w:lang w:eastAsia="zh-CN"/>
        </w:rPr>
        <w:t>关于现场文件准备的约定：</w:t>
      </w:r>
      <w:r>
        <w:rPr>
          <w:rFonts w:hint="eastAsia" w:ascii="宋体" w:hAnsi="宋体" w:eastAsia="宋体" w:cs="宋体"/>
          <w:sz w:val="24"/>
          <w:szCs w:val="24"/>
          <w:u w:val="single"/>
          <w:lang w:eastAsia="zh-CN"/>
        </w:rPr>
        <w:t>由承包人自行负责整理及保管，文件应当实行电子</w:t>
      </w:r>
      <w:r>
        <w:rPr>
          <w:rFonts w:hint="eastAsia" w:ascii="宋体" w:hAnsi="宋体" w:eastAsia="宋体" w:cs="宋体"/>
          <w:spacing w:val="-1"/>
          <w:sz w:val="24"/>
          <w:szCs w:val="24"/>
          <w:u w:val="single"/>
          <w:lang w:eastAsia="zh-CN"/>
        </w:rPr>
        <w:t>化存档和管理，重要文件应及时报发包人或监理人备案留存。发包人及行业主管部门需要调阅的，承包人须随时提供相关文件供调阅使用。承包人保管文件出现丢失或损坏的，由承包人自行承担所有责任和损失。</w:t>
      </w:r>
    </w:p>
    <w:p w14:paraId="6CCD3D7B">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1.7联络</w:t>
      </w:r>
    </w:p>
    <w:p w14:paraId="18BC98DD">
      <w:pPr>
        <w:spacing w:line="360" w:lineRule="auto"/>
        <w:ind w:left="16" w:right="48" w:firstLine="31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1.7.2发包人指定的送达方式（包括电子传输方式</w:t>
      </w:r>
      <w:r>
        <w:rPr>
          <w:rFonts w:hint="eastAsia" w:ascii="宋体" w:hAnsi="宋体" w:eastAsia="宋体" w:cs="宋体"/>
          <w:spacing w:val="-34"/>
          <w:sz w:val="24"/>
          <w:szCs w:val="24"/>
          <w:lang w:eastAsia="zh-CN"/>
        </w:rPr>
        <w:t>）：</w:t>
      </w:r>
      <w:r>
        <w:rPr>
          <w:rFonts w:hint="eastAsia" w:ascii="宋体" w:hAnsi="宋体" w:eastAsia="宋体" w:cs="宋体"/>
          <w:spacing w:val="-2"/>
          <w:sz w:val="24"/>
          <w:szCs w:val="24"/>
          <w:u w:val="single"/>
          <w:lang w:eastAsia="zh-CN"/>
        </w:rPr>
        <w:t>纸质版文件</w:t>
      </w:r>
      <w:r>
        <w:rPr>
          <w:rFonts w:hint="eastAsia" w:ascii="宋体" w:hAnsi="宋体" w:eastAsia="宋体" w:cs="宋体"/>
          <w:spacing w:val="-3"/>
          <w:sz w:val="24"/>
          <w:szCs w:val="24"/>
          <w:u w:val="single"/>
          <w:lang w:eastAsia="zh-CN"/>
        </w:rPr>
        <w:t>或电子文件直接送达、</w:t>
      </w:r>
      <w:r>
        <w:rPr>
          <w:rFonts w:hint="eastAsia" w:ascii="宋体" w:hAnsi="宋体" w:eastAsia="宋体" w:cs="宋体"/>
          <w:spacing w:val="-2"/>
          <w:sz w:val="24"/>
          <w:szCs w:val="24"/>
          <w:u w:val="single"/>
          <w:lang w:eastAsia="zh-CN"/>
        </w:rPr>
        <w:t>邮寄、电子邮箱传输等。</w:t>
      </w:r>
    </w:p>
    <w:p w14:paraId="16410F75">
      <w:pPr>
        <w:spacing w:line="360" w:lineRule="auto"/>
        <w:ind w:left="31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发包人的送达地址：</w:t>
      </w:r>
      <w:r>
        <w:rPr>
          <w:rFonts w:hint="eastAsia" w:ascii="宋体" w:hAnsi="宋体" w:eastAsia="宋体" w:cs="宋体"/>
          <w:spacing w:val="-1"/>
          <w:sz w:val="24"/>
          <w:szCs w:val="24"/>
          <w:u w:val="single"/>
          <w:lang w:eastAsia="zh-CN"/>
        </w:rPr>
        <w:t>单位所在地或工程所在地办公室。</w:t>
      </w:r>
    </w:p>
    <w:p w14:paraId="58FAC5AF">
      <w:pPr>
        <w:spacing w:line="360" w:lineRule="auto"/>
        <w:ind w:left="25" w:right="48" w:firstLine="28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承包人指定的送达方式（包括电子传输方式</w:t>
      </w:r>
      <w:r>
        <w:rPr>
          <w:rFonts w:hint="eastAsia" w:ascii="宋体" w:hAnsi="宋体" w:eastAsia="宋体" w:cs="宋体"/>
          <w:spacing w:val="-27"/>
          <w:sz w:val="24"/>
          <w:szCs w:val="24"/>
          <w:lang w:eastAsia="zh-CN"/>
        </w:rPr>
        <w:t>）：</w:t>
      </w:r>
      <w:r>
        <w:rPr>
          <w:rFonts w:hint="eastAsia" w:ascii="宋体" w:hAnsi="宋体" w:eastAsia="宋体" w:cs="宋体"/>
          <w:spacing w:val="-2"/>
          <w:sz w:val="24"/>
          <w:szCs w:val="24"/>
          <w:u w:val="single"/>
          <w:lang w:eastAsia="zh-CN"/>
        </w:rPr>
        <w:t>纸质版文</w:t>
      </w:r>
      <w:r>
        <w:rPr>
          <w:rFonts w:hint="eastAsia" w:ascii="宋体" w:hAnsi="宋体" w:eastAsia="宋体" w:cs="宋体"/>
          <w:spacing w:val="-3"/>
          <w:sz w:val="24"/>
          <w:szCs w:val="24"/>
          <w:u w:val="single"/>
          <w:lang w:eastAsia="zh-CN"/>
        </w:rPr>
        <w:t>件或电子文件直接送达、邮寄、</w:t>
      </w:r>
      <w:r>
        <w:rPr>
          <w:rFonts w:hint="eastAsia" w:ascii="宋体" w:hAnsi="宋体" w:eastAsia="宋体" w:cs="宋体"/>
          <w:spacing w:val="-4"/>
          <w:sz w:val="24"/>
          <w:szCs w:val="24"/>
          <w:u w:val="single"/>
          <w:lang w:eastAsia="zh-CN"/>
        </w:rPr>
        <w:t>电子邮箱传输等。</w:t>
      </w:r>
    </w:p>
    <w:p w14:paraId="277E9DAC">
      <w:pPr>
        <w:spacing w:line="360" w:lineRule="auto"/>
        <w:ind w:left="312"/>
        <w:rPr>
          <w:rFonts w:hint="eastAsia" w:ascii="宋体" w:hAnsi="宋体" w:eastAsia="宋体" w:cs="宋体"/>
          <w:sz w:val="24"/>
          <w:szCs w:val="24"/>
          <w:lang w:eastAsia="zh-CN"/>
        </w:rPr>
      </w:pPr>
      <w:r>
        <w:rPr>
          <w:rFonts w:hint="eastAsia" w:ascii="宋体" w:hAnsi="宋体" w:eastAsia="宋体" w:cs="宋体"/>
          <w:sz w:val="24"/>
          <w:szCs w:val="24"/>
          <w:lang w:eastAsia="zh-CN"/>
        </w:rPr>
        <w:t>承包人的送达地址：</w:t>
      </w:r>
      <w:r>
        <w:rPr>
          <w:rFonts w:hint="eastAsia" w:ascii="宋体" w:hAnsi="宋体" w:eastAsia="宋体" w:cs="宋体"/>
          <w:sz w:val="24"/>
          <w:szCs w:val="24"/>
          <w:u w:val="single"/>
          <w:lang w:eastAsia="zh-CN"/>
        </w:rPr>
        <w:t>单位所在地或工程所在</w:t>
      </w:r>
      <w:r>
        <w:rPr>
          <w:rFonts w:hint="eastAsia" w:ascii="宋体" w:hAnsi="宋体" w:eastAsia="宋体" w:cs="宋体"/>
          <w:spacing w:val="-1"/>
          <w:sz w:val="24"/>
          <w:szCs w:val="24"/>
          <w:u w:val="single"/>
          <w:lang w:eastAsia="zh-CN"/>
        </w:rPr>
        <w:t>地办公室</w:t>
      </w:r>
      <w:r>
        <w:rPr>
          <w:rFonts w:hint="eastAsia" w:ascii="宋体" w:hAnsi="宋体" w:eastAsia="宋体" w:cs="宋体"/>
          <w:spacing w:val="-1"/>
          <w:sz w:val="24"/>
          <w:szCs w:val="24"/>
          <w:lang w:eastAsia="zh-CN"/>
        </w:rPr>
        <w:t>。</w:t>
      </w:r>
    </w:p>
    <w:p w14:paraId="3F7393D2">
      <w:pPr>
        <w:spacing w:line="360" w:lineRule="auto"/>
        <w:ind w:left="32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1.10知识产权</w:t>
      </w:r>
    </w:p>
    <w:p w14:paraId="4FFAABF1">
      <w:pPr>
        <w:spacing w:line="360" w:lineRule="auto"/>
        <w:ind w:left="9" w:firstLine="31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1.10.1由发包人（或以发包人名义）编制的《发包人要求》和其他文件的著作权归属：</w:t>
      </w:r>
      <w:r>
        <w:rPr>
          <w:rFonts w:hint="eastAsia" w:ascii="宋体" w:hAnsi="宋体" w:eastAsia="宋体" w:cs="宋体"/>
          <w:spacing w:val="-3"/>
          <w:sz w:val="24"/>
          <w:szCs w:val="24"/>
          <w:u w:val="single"/>
          <w:lang w:eastAsia="zh-CN"/>
        </w:rPr>
        <w:t>归属发包人。</w:t>
      </w:r>
    </w:p>
    <w:p w14:paraId="5EA30F6C">
      <w:pPr>
        <w:spacing w:line="360" w:lineRule="auto"/>
        <w:ind w:left="2" w:right="43" w:firstLine="32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1.10.2由承包人（或以承包人名义）为实施工程所编制的文件、承包人完成的设计工作</w:t>
      </w:r>
      <w:r>
        <w:rPr>
          <w:rFonts w:hint="eastAsia" w:ascii="宋体" w:hAnsi="宋体" w:eastAsia="宋体" w:cs="宋体"/>
          <w:sz w:val="24"/>
          <w:szCs w:val="24"/>
          <w:lang w:eastAsia="zh-CN"/>
        </w:rPr>
        <w:t>成果和建造完成的建筑物的知识产权归属：</w:t>
      </w:r>
      <w:r>
        <w:rPr>
          <w:rFonts w:hint="eastAsia" w:ascii="宋体" w:hAnsi="宋体" w:eastAsia="宋体" w:cs="宋体"/>
          <w:sz w:val="24"/>
          <w:szCs w:val="24"/>
          <w:u w:val="single"/>
          <w:lang w:eastAsia="zh-CN"/>
        </w:rPr>
        <w:t>除署名权以外的著作权归</w:t>
      </w:r>
      <w:r>
        <w:rPr>
          <w:rFonts w:hint="eastAsia" w:ascii="宋体" w:hAnsi="宋体" w:eastAsia="宋体" w:cs="宋体"/>
          <w:spacing w:val="-1"/>
          <w:sz w:val="24"/>
          <w:szCs w:val="24"/>
          <w:u w:val="single"/>
          <w:lang w:eastAsia="zh-CN"/>
        </w:rPr>
        <w:t>属承包人。</w:t>
      </w:r>
    </w:p>
    <w:p w14:paraId="30937807">
      <w:pPr>
        <w:spacing w:line="360" w:lineRule="auto"/>
        <w:ind w:right="45" w:firstLine="39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1.10.4承包人在投标文件中采用的专利、专有技术、技术秘密的使用费的承担方式：</w:t>
      </w:r>
      <w:r>
        <w:rPr>
          <w:rFonts w:hint="eastAsia" w:ascii="宋体" w:hAnsi="宋体" w:eastAsia="宋体" w:cs="宋体"/>
          <w:spacing w:val="-3"/>
          <w:sz w:val="24"/>
          <w:szCs w:val="24"/>
          <w:u w:val="single"/>
          <w:lang w:eastAsia="zh-CN"/>
        </w:rPr>
        <w:t>由</w:t>
      </w:r>
      <w:r>
        <w:rPr>
          <w:rFonts w:hint="eastAsia" w:ascii="宋体" w:hAnsi="宋体" w:eastAsia="宋体" w:cs="宋体"/>
          <w:spacing w:val="-1"/>
          <w:sz w:val="24"/>
          <w:szCs w:val="24"/>
          <w:u w:val="single"/>
          <w:lang w:eastAsia="zh-CN"/>
        </w:rPr>
        <w:t>承包人承担。</w:t>
      </w:r>
    </w:p>
    <w:p w14:paraId="24707D8F">
      <w:pPr>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br w:type="page"/>
      </w:r>
    </w:p>
    <w:p w14:paraId="0A8DA8B3">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1.11保密</w:t>
      </w:r>
    </w:p>
    <w:p w14:paraId="778D9505">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双方订立的商业保密协议（名称</w:t>
      </w:r>
      <w:r>
        <w:rPr>
          <w:rFonts w:hint="eastAsia" w:ascii="宋体" w:hAnsi="宋体" w:eastAsia="宋体" w:cs="宋体"/>
          <w:spacing w:val="11"/>
          <w:sz w:val="24"/>
          <w:szCs w:val="24"/>
          <w:lang w:eastAsia="zh-CN"/>
        </w:rPr>
        <w:t>）：</w:t>
      </w:r>
      <w:r>
        <w:rPr>
          <w:rFonts w:hint="eastAsia" w:ascii="宋体" w:hAnsi="宋体" w:eastAsia="宋体" w:cs="宋体"/>
          <w:spacing w:val="-2"/>
          <w:sz w:val="24"/>
          <w:szCs w:val="24"/>
          <w:u w:val="single"/>
          <w:lang w:eastAsia="zh-CN"/>
        </w:rPr>
        <w:t>届时约定，</w:t>
      </w:r>
      <w:r>
        <w:rPr>
          <w:rFonts w:hint="eastAsia" w:ascii="宋体" w:hAnsi="宋体" w:eastAsia="宋体" w:cs="宋体"/>
          <w:spacing w:val="-2"/>
          <w:sz w:val="24"/>
          <w:szCs w:val="24"/>
          <w:lang w:eastAsia="zh-CN"/>
        </w:rPr>
        <w:t>作为本合同附件。</w:t>
      </w:r>
    </w:p>
    <w:p w14:paraId="0D9AD14A">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双方订立的技术保密协议（名称</w:t>
      </w:r>
      <w:r>
        <w:rPr>
          <w:rFonts w:hint="eastAsia" w:ascii="宋体" w:hAnsi="宋体" w:eastAsia="宋体" w:cs="宋体"/>
          <w:spacing w:val="11"/>
          <w:sz w:val="24"/>
          <w:szCs w:val="24"/>
          <w:lang w:eastAsia="zh-CN"/>
        </w:rPr>
        <w:t>）：</w:t>
      </w:r>
      <w:r>
        <w:rPr>
          <w:rFonts w:hint="eastAsia" w:ascii="宋体" w:hAnsi="宋体" w:eastAsia="宋体" w:cs="宋体"/>
          <w:spacing w:val="-2"/>
          <w:sz w:val="24"/>
          <w:szCs w:val="24"/>
          <w:u w:val="single"/>
          <w:lang w:eastAsia="zh-CN"/>
        </w:rPr>
        <w:t>届时约定，</w:t>
      </w:r>
      <w:r>
        <w:rPr>
          <w:rFonts w:hint="eastAsia" w:ascii="宋体" w:hAnsi="宋体" w:eastAsia="宋体" w:cs="宋体"/>
          <w:spacing w:val="-2"/>
          <w:sz w:val="24"/>
          <w:szCs w:val="24"/>
          <w:lang w:eastAsia="zh-CN"/>
        </w:rPr>
        <w:t>作为本合同附件。</w:t>
      </w:r>
    </w:p>
    <w:p w14:paraId="075BA9BA">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1.13责任限制</w:t>
      </w:r>
    </w:p>
    <w:p w14:paraId="628AEDA1">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承包人对发包人赔偿责任的最高限额为</w:t>
      </w:r>
      <w:r>
        <w:rPr>
          <w:rFonts w:hint="eastAsia" w:ascii="宋体" w:hAnsi="宋体" w:eastAsia="宋体" w:cs="宋体"/>
          <w:spacing w:val="1"/>
          <w:sz w:val="24"/>
          <w:szCs w:val="24"/>
          <w:u w:val="single"/>
          <w:lang w:eastAsia="zh-CN"/>
        </w:rPr>
        <w:t>/。</w:t>
      </w:r>
    </w:p>
    <w:p w14:paraId="06CB2803">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1.14建筑信息模型技术的应用</w:t>
      </w:r>
    </w:p>
    <w:p w14:paraId="3ACAAB7F">
      <w:pPr>
        <w:spacing w:line="360" w:lineRule="auto"/>
        <w:ind w:right="48" w:firstLine="385"/>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关于建筑信息模型技术的开发、使用、存储、</w:t>
      </w:r>
      <w:r>
        <w:rPr>
          <w:rFonts w:hint="eastAsia" w:ascii="宋体" w:hAnsi="宋体" w:eastAsia="宋体" w:cs="宋体"/>
          <w:spacing w:val="-6"/>
          <w:sz w:val="24"/>
          <w:szCs w:val="24"/>
          <w:lang w:eastAsia="zh-CN"/>
        </w:rPr>
        <w:t>传输、交付及费用约定如下：</w:t>
      </w:r>
      <w:r>
        <w:rPr>
          <w:rFonts w:hint="eastAsia" w:ascii="宋体" w:hAnsi="宋体" w:eastAsia="宋体" w:cs="宋体"/>
          <w:spacing w:val="-6"/>
          <w:sz w:val="24"/>
          <w:szCs w:val="24"/>
          <w:u w:val="single"/>
          <w:lang w:eastAsia="zh-CN"/>
        </w:rPr>
        <w:t>开发、使用、</w:t>
      </w:r>
      <w:r>
        <w:rPr>
          <w:rFonts w:hint="eastAsia" w:ascii="宋体" w:hAnsi="宋体" w:eastAsia="宋体" w:cs="宋体"/>
          <w:spacing w:val="-1"/>
          <w:sz w:val="24"/>
          <w:szCs w:val="24"/>
          <w:u w:val="single"/>
          <w:lang w:eastAsia="zh-CN"/>
        </w:rPr>
        <w:t>存储、传输、交付届时约定，费用由承包人负责。</w:t>
      </w:r>
    </w:p>
    <w:p w14:paraId="0C21E7A7">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第2条发包人</w:t>
      </w:r>
    </w:p>
    <w:p w14:paraId="0BC0B435">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2.2提供施工现场和工作条件</w:t>
      </w:r>
    </w:p>
    <w:p w14:paraId="7ACE141E">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2.2.1提供施工现场</w:t>
      </w:r>
    </w:p>
    <w:p w14:paraId="4EE6ABF3">
      <w:pPr>
        <w:spacing w:line="360" w:lineRule="auto"/>
        <w:ind w:left="2" w:firstLine="38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关于发包人提供施工现场的范围和期限：</w:t>
      </w:r>
      <w:r>
        <w:rPr>
          <w:rFonts w:hint="eastAsia" w:ascii="宋体" w:hAnsi="宋体" w:eastAsia="宋体" w:cs="宋体"/>
          <w:spacing w:val="-3"/>
          <w:sz w:val="24"/>
          <w:szCs w:val="24"/>
          <w:u w:val="single"/>
          <w:lang w:eastAsia="zh-CN"/>
        </w:rPr>
        <w:t>红线范围内及临时用地的相关手续满足工期要</w:t>
      </w:r>
      <w:r>
        <w:rPr>
          <w:rFonts w:hint="eastAsia" w:ascii="宋体" w:hAnsi="宋体" w:eastAsia="宋体" w:cs="宋体"/>
          <w:spacing w:val="-5"/>
          <w:sz w:val="24"/>
          <w:szCs w:val="24"/>
          <w:u w:val="single"/>
          <w:lang w:eastAsia="zh-CN"/>
        </w:rPr>
        <w:t>求。</w:t>
      </w:r>
    </w:p>
    <w:p w14:paraId="025F563C">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2.2.2提供工作条件</w:t>
      </w:r>
    </w:p>
    <w:p w14:paraId="1E7BDDD1">
      <w:pPr>
        <w:spacing w:line="360" w:lineRule="auto"/>
        <w:ind w:left="385"/>
        <w:rPr>
          <w:rFonts w:hint="eastAsia" w:ascii="宋体" w:hAnsi="宋体" w:eastAsia="宋体" w:cs="宋体"/>
          <w:sz w:val="24"/>
          <w:szCs w:val="24"/>
          <w:lang w:eastAsia="zh-CN"/>
        </w:rPr>
      </w:pPr>
      <w:r>
        <w:rPr>
          <w:rFonts w:hint="eastAsia" w:ascii="宋体" w:hAnsi="宋体" w:eastAsia="宋体" w:cs="宋体"/>
          <w:sz w:val="24"/>
          <w:szCs w:val="24"/>
          <w:lang w:eastAsia="zh-CN"/>
        </w:rPr>
        <w:t>关于发包人应负责提供的工作条件包括：</w:t>
      </w:r>
      <w:r>
        <w:rPr>
          <w:rFonts w:hint="eastAsia" w:ascii="宋体" w:hAnsi="宋体" w:eastAsia="宋体" w:cs="宋体"/>
          <w:sz w:val="24"/>
          <w:szCs w:val="24"/>
          <w:u w:val="single"/>
          <w:lang w:eastAsia="zh-CN"/>
        </w:rPr>
        <w:t>/</w:t>
      </w:r>
    </w:p>
    <w:p w14:paraId="10F9603D">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2.3提供基础资料</w:t>
      </w:r>
    </w:p>
    <w:p w14:paraId="49EDCF50">
      <w:pPr>
        <w:spacing w:line="360" w:lineRule="auto"/>
        <w:ind w:left="384" w:right="7"/>
        <w:rPr>
          <w:rFonts w:hint="eastAsia" w:ascii="宋体" w:hAnsi="宋体" w:eastAsia="宋体" w:cs="宋体"/>
          <w:spacing w:val="-1"/>
          <w:sz w:val="24"/>
          <w:szCs w:val="24"/>
          <w:u w:val="single"/>
          <w:lang w:eastAsia="zh-CN"/>
        </w:rPr>
      </w:pPr>
      <w:r>
        <w:rPr>
          <w:rFonts w:hint="eastAsia" w:ascii="宋体" w:hAnsi="宋体" w:eastAsia="宋体" w:cs="宋体"/>
          <w:sz w:val="24"/>
          <w:szCs w:val="24"/>
          <w:lang w:eastAsia="zh-CN"/>
        </w:rPr>
        <w:t>关于发包人应提供的基础资料的范围和期限：</w:t>
      </w:r>
      <w:r>
        <w:rPr>
          <w:rFonts w:hint="eastAsia" w:ascii="宋体" w:hAnsi="宋体" w:eastAsia="宋体" w:cs="宋体"/>
          <w:sz w:val="24"/>
          <w:szCs w:val="24"/>
          <w:u w:val="single"/>
          <w:lang w:eastAsia="zh-CN"/>
        </w:rPr>
        <w:t>提供施工现场地质勘测资</w:t>
      </w:r>
      <w:r>
        <w:rPr>
          <w:rFonts w:hint="eastAsia" w:ascii="宋体" w:hAnsi="宋体" w:eastAsia="宋体" w:cs="宋体"/>
          <w:spacing w:val="-1"/>
          <w:sz w:val="24"/>
          <w:szCs w:val="24"/>
          <w:u w:val="single"/>
          <w:lang w:eastAsia="zh-CN"/>
        </w:rPr>
        <w:t>料等有关资料。</w:t>
      </w:r>
    </w:p>
    <w:p w14:paraId="43371105">
      <w:pPr>
        <w:spacing w:line="360" w:lineRule="auto"/>
        <w:ind w:left="384" w:right="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2.5支付合同价款</w:t>
      </w:r>
    </w:p>
    <w:p w14:paraId="3294C84E">
      <w:pPr>
        <w:spacing w:line="360" w:lineRule="auto"/>
        <w:ind w:firstLine="38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2.5.2发包人提供资金来源证明及资金安排的期限要求：</w:t>
      </w:r>
      <w:r>
        <w:rPr>
          <w:rFonts w:hint="eastAsia" w:ascii="宋体" w:hAnsi="宋体" w:eastAsia="宋体" w:cs="宋体"/>
          <w:sz w:val="24"/>
          <w:szCs w:val="24"/>
          <w:u w:val="single"/>
          <w:lang w:eastAsia="zh-CN"/>
        </w:rPr>
        <w:t>建设单位应当在取得</w:t>
      </w:r>
      <w:r>
        <w:rPr>
          <w:rFonts w:hint="eastAsia" w:ascii="宋体" w:hAnsi="宋体" w:eastAsia="宋体" w:cs="宋体"/>
          <w:spacing w:val="-1"/>
          <w:sz w:val="24"/>
          <w:szCs w:val="24"/>
          <w:u w:val="single"/>
          <w:lang w:eastAsia="zh-CN"/>
        </w:rPr>
        <w:t>施工许可</w:t>
      </w:r>
      <w:r>
        <w:rPr>
          <w:rFonts w:hint="eastAsia" w:ascii="宋体" w:hAnsi="宋体" w:eastAsia="宋体" w:cs="宋体"/>
          <w:spacing w:val="2"/>
          <w:sz w:val="24"/>
          <w:szCs w:val="24"/>
          <w:u w:val="single"/>
          <w:lang w:eastAsia="zh-CN"/>
        </w:rPr>
        <w:t>证3个月内办理10%的工程款支付担保，施工单位在收到</w:t>
      </w:r>
      <w:r>
        <w:rPr>
          <w:rFonts w:hint="eastAsia" w:ascii="宋体" w:hAnsi="宋体" w:eastAsia="宋体" w:cs="宋体"/>
          <w:spacing w:val="1"/>
          <w:sz w:val="24"/>
          <w:szCs w:val="24"/>
          <w:u w:val="single"/>
          <w:lang w:eastAsia="zh-CN"/>
        </w:rPr>
        <w:t>工程款支付担保后3日内将相关资料</w:t>
      </w:r>
      <w:r>
        <w:rPr>
          <w:rFonts w:hint="eastAsia" w:ascii="宋体" w:hAnsi="宋体" w:eastAsia="宋体" w:cs="宋体"/>
          <w:spacing w:val="-1"/>
          <w:sz w:val="24"/>
          <w:szCs w:val="24"/>
          <w:u w:val="single"/>
          <w:lang w:eastAsia="zh-CN"/>
        </w:rPr>
        <w:t>上传至项目所在地农民工工资支付监管平台，未按时按承诺提交工程款支付担保的工程建设项目，将视作建设资金未落实。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30天，办理保函、保证保险、担保保单延期手续。</w:t>
      </w:r>
    </w:p>
    <w:p w14:paraId="10D529DC">
      <w:pPr>
        <w:spacing w:line="360" w:lineRule="auto"/>
        <w:ind w:left="2" w:right="2" w:firstLine="382"/>
        <w:jc w:val="both"/>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工程款支付担保保证有效期内，建设单位未按照规定向农民工工资专用账户拨</w:t>
      </w:r>
      <w:r>
        <w:rPr>
          <w:rFonts w:hint="eastAsia" w:ascii="宋体" w:hAnsi="宋体" w:eastAsia="宋体" w:cs="宋体"/>
          <w:spacing w:val="-1"/>
          <w:sz w:val="24"/>
          <w:szCs w:val="24"/>
          <w:u w:val="single"/>
          <w:lang w:eastAsia="zh-CN"/>
        </w:rPr>
        <w:t>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5CB3A860">
      <w:pPr>
        <w:spacing w:line="360" w:lineRule="auto"/>
        <w:ind w:firstLine="38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2.5.3发包人提供支付担保的形式、期限、金额（</w:t>
      </w:r>
      <w:r>
        <w:rPr>
          <w:rFonts w:hint="eastAsia" w:ascii="宋体" w:hAnsi="宋体" w:eastAsia="宋体" w:cs="宋体"/>
          <w:spacing w:val="-1"/>
          <w:sz w:val="24"/>
          <w:szCs w:val="24"/>
          <w:lang w:eastAsia="zh-CN"/>
        </w:rPr>
        <w:t>或比例</w:t>
      </w:r>
      <w:r>
        <w:rPr>
          <w:rFonts w:hint="eastAsia" w:ascii="宋体" w:hAnsi="宋体" w:eastAsia="宋体" w:cs="宋体"/>
          <w:spacing w:val="5"/>
          <w:sz w:val="24"/>
          <w:szCs w:val="24"/>
          <w:lang w:eastAsia="zh-CN"/>
        </w:rPr>
        <w:t>）：</w:t>
      </w:r>
      <w:r>
        <w:rPr>
          <w:rFonts w:hint="eastAsia" w:ascii="宋体" w:hAnsi="宋体" w:eastAsia="宋体" w:cs="宋体"/>
          <w:spacing w:val="-1"/>
          <w:sz w:val="24"/>
          <w:szCs w:val="24"/>
          <w:u w:val="single"/>
          <w:lang w:eastAsia="zh-CN"/>
        </w:rPr>
        <w:t>工程款支付担保可以采用</w:t>
      </w:r>
      <w:r>
        <w:rPr>
          <w:rFonts w:hint="eastAsia" w:ascii="宋体" w:hAnsi="宋体" w:eastAsia="宋体" w:cs="宋体"/>
          <w:spacing w:val="-1"/>
          <w:sz w:val="24"/>
          <w:szCs w:val="24"/>
          <w:lang w:eastAsia="zh-CN"/>
        </w:rPr>
        <w:t>银行保函、担保公司担保、第三方担保等方式，也可以用工程款支付保证保险替代。对于政</w:t>
      </w:r>
      <w:r>
        <w:rPr>
          <w:rFonts w:hint="eastAsia" w:ascii="宋体" w:hAnsi="宋体" w:eastAsia="宋体" w:cs="宋体"/>
          <w:spacing w:val="-1"/>
          <w:sz w:val="24"/>
          <w:szCs w:val="24"/>
          <w:u w:val="single"/>
          <w:lang w:eastAsia="zh-CN"/>
        </w:rPr>
        <w:t>府投资的工程建设项目，发包人可以根据合同约定将有权部门出具的相应资金保障证明，作为工程款支付担保凭证。</w:t>
      </w:r>
    </w:p>
    <w:p w14:paraId="734F4157">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2.7其他义务</w:t>
      </w:r>
    </w:p>
    <w:p w14:paraId="428A97F9">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发包人应履行的其他义务：_________。</w:t>
      </w:r>
    </w:p>
    <w:p w14:paraId="59F4FE8D">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第3条发包人的管理</w:t>
      </w:r>
    </w:p>
    <w:p w14:paraId="26D651EC">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3.1发包人代表</w:t>
      </w:r>
    </w:p>
    <w:p w14:paraId="07119764">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发包人代表的姓名：_________；</w:t>
      </w:r>
    </w:p>
    <w:p w14:paraId="48E983D6">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发包人代表的身份证号：_________；</w:t>
      </w:r>
    </w:p>
    <w:p w14:paraId="41737E89">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发包人代表的职务：_________；</w:t>
      </w:r>
    </w:p>
    <w:p w14:paraId="06CA26CA">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发包人代表的联系电话：_________；</w:t>
      </w:r>
    </w:p>
    <w:p w14:paraId="143EBEC5">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发包人代表的电子邮箱：_________；</w:t>
      </w:r>
    </w:p>
    <w:p w14:paraId="46294590">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发包人代表的通信地址：_________；</w:t>
      </w:r>
    </w:p>
    <w:p w14:paraId="385E6F6B">
      <w:pPr>
        <w:spacing w:line="360" w:lineRule="auto"/>
        <w:ind w:left="385"/>
        <w:rPr>
          <w:rFonts w:hint="eastAsia" w:ascii="宋体" w:hAnsi="宋体" w:eastAsia="宋体" w:cs="宋体"/>
          <w:sz w:val="24"/>
          <w:szCs w:val="24"/>
          <w:lang w:eastAsia="zh-CN"/>
        </w:rPr>
      </w:pPr>
      <w:r>
        <w:rPr>
          <w:rFonts w:hint="eastAsia" w:ascii="宋体" w:hAnsi="宋体" w:eastAsia="宋体" w:cs="宋体"/>
          <w:sz w:val="24"/>
          <w:szCs w:val="24"/>
          <w:lang w:eastAsia="zh-CN"/>
        </w:rPr>
        <w:t>发包人对发包人代表的授权范围如下：__</w:t>
      </w:r>
      <w:r>
        <w:rPr>
          <w:rFonts w:hint="eastAsia" w:ascii="宋体" w:hAnsi="宋体" w:eastAsia="宋体" w:cs="宋体"/>
          <w:spacing w:val="-1"/>
          <w:sz w:val="24"/>
          <w:szCs w:val="24"/>
          <w:lang w:eastAsia="zh-CN"/>
        </w:rPr>
        <w:t>_______；</w:t>
      </w:r>
    </w:p>
    <w:p w14:paraId="19E52800">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发包人代表的职责：_________。</w:t>
      </w:r>
    </w:p>
    <w:p w14:paraId="073C5076">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3.2发包人人员</w:t>
      </w:r>
    </w:p>
    <w:p w14:paraId="2FE764C8">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发包人人员姓名</w:t>
      </w:r>
      <w:r>
        <w:rPr>
          <w:rFonts w:hint="eastAsia" w:ascii="宋体" w:hAnsi="宋体" w:eastAsia="宋体" w:cs="宋体"/>
          <w:spacing w:val="1"/>
          <w:sz w:val="24"/>
          <w:szCs w:val="24"/>
          <w:lang w:eastAsia="zh-CN"/>
        </w:rPr>
        <w:t>：；</w:t>
      </w:r>
    </w:p>
    <w:p w14:paraId="5B12230C">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发包人人员职务：_________；</w:t>
      </w:r>
    </w:p>
    <w:p w14:paraId="61D76DC1">
      <w:pPr>
        <w:tabs>
          <w:tab w:val="left" w:pos="8362"/>
        </w:tabs>
        <w:spacing w:line="360" w:lineRule="auto"/>
        <w:ind w:firstLine="385"/>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发包人人员职责：</w:t>
      </w:r>
      <w:r>
        <w:rPr>
          <w:rFonts w:hint="eastAsia" w:ascii="宋体" w:hAnsi="宋体" w:eastAsia="宋体" w:cs="宋体"/>
          <w:spacing w:val="-4"/>
          <w:sz w:val="24"/>
          <w:szCs w:val="24"/>
          <w:u w:val="single"/>
          <w:lang w:eastAsia="zh-CN"/>
        </w:rPr>
        <w:t>协调与工程建设相关的外部环境，促进工程顺利建设；督促监理人、</w:t>
      </w:r>
      <w:r>
        <w:rPr>
          <w:rFonts w:hint="eastAsia" w:ascii="宋体" w:hAnsi="宋体" w:eastAsia="宋体" w:cs="宋体"/>
          <w:spacing w:val="-1"/>
          <w:sz w:val="24"/>
          <w:szCs w:val="24"/>
          <w:u w:val="single"/>
          <w:lang w:eastAsia="zh-CN"/>
        </w:rPr>
        <w:t>承包人和设计人及造价咨询服务机构等按合同要求开展日常监督管理、施工组织管理、驻场服务工作，并对履约情况定期考核，提出奖惩意见；做好现场的计量审核、签证审核、工程</w:t>
      </w:r>
      <w:r>
        <w:rPr>
          <w:rFonts w:hint="eastAsia" w:ascii="宋体" w:hAnsi="宋体" w:eastAsia="宋体" w:cs="宋体"/>
          <w:sz w:val="24"/>
          <w:szCs w:val="24"/>
          <w:u w:val="single"/>
          <w:lang w:eastAsia="zh-CN"/>
        </w:rPr>
        <w:t>变更洽商审核、工程档案的收集整理工作；参与隐蔽工程验收，组织工程验收、竣工验收和运维绩效考核；</w:t>
      </w:r>
      <w:r>
        <w:rPr>
          <w:rFonts w:hint="eastAsia" w:ascii="宋体" w:hAnsi="宋体" w:eastAsia="宋体" w:cs="宋体"/>
          <w:spacing w:val="-1"/>
          <w:sz w:val="24"/>
          <w:szCs w:val="24"/>
          <w:u w:val="single"/>
          <w:lang w:eastAsia="zh-CN"/>
        </w:rPr>
        <w:t>及时报告工程建设中相关情况。</w:t>
      </w:r>
    </w:p>
    <w:p w14:paraId="209A829F">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3.3工程师</w:t>
      </w:r>
    </w:p>
    <w:p w14:paraId="6291CAC0">
      <w:pPr>
        <w:spacing w:line="360" w:lineRule="auto"/>
        <w:ind w:left="3" w:right="102" w:firstLine="38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3.3.1工程师名称：_________；工程师监督管理范围、内容：_____</w:t>
      </w:r>
      <w:r>
        <w:rPr>
          <w:rFonts w:hint="eastAsia" w:ascii="宋体" w:hAnsi="宋体" w:eastAsia="宋体" w:cs="宋体"/>
          <w:spacing w:val="-6"/>
          <w:sz w:val="24"/>
          <w:szCs w:val="24"/>
          <w:lang w:eastAsia="zh-CN"/>
        </w:rPr>
        <w:t>___；工程师权限：</w:t>
      </w:r>
      <w:r>
        <w:rPr>
          <w:rFonts w:hint="eastAsia" w:ascii="宋体" w:hAnsi="宋体" w:eastAsia="宋体" w:cs="宋体"/>
          <w:spacing w:val="-1"/>
          <w:sz w:val="24"/>
          <w:szCs w:val="24"/>
          <w:u w:val="single"/>
          <w:lang w:eastAsia="zh-CN"/>
        </w:rPr>
        <w:t>详见本工程监理合同。</w:t>
      </w:r>
    </w:p>
    <w:p w14:paraId="0E1C2269">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3.6商定或确定</w:t>
      </w:r>
    </w:p>
    <w:p w14:paraId="6860D6E1">
      <w:pPr>
        <w:spacing w:line="360" w:lineRule="auto"/>
        <w:ind w:left="386"/>
        <w:rPr>
          <w:rFonts w:hint="eastAsia" w:ascii="宋体" w:hAnsi="宋体" w:eastAsia="宋体" w:cs="宋体"/>
          <w:sz w:val="24"/>
          <w:szCs w:val="24"/>
          <w:lang w:eastAsia="zh-CN"/>
        </w:rPr>
      </w:pPr>
      <w:r>
        <w:rPr>
          <w:rFonts w:hint="eastAsia" w:ascii="宋体" w:hAnsi="宋体" w:eastAsia="宋体" w:cs="宋体"/>
          <w:sz w:val="24"/>
          <w:szCs w:val="24"/>
          <w:lang w:eastAsia="zh-CN"/>
        </w:rPr>
        <w:t>3.6.2关于商定时间限制的具体约定：</w:t>
      </w:r>
      <w:r>
        <w:rPr>
          <w:rFonts w:hint="eastAsia" w:ascii="宋体" w:hAnsi="宋体" w:eastAsia="宋体" w:cs="宋体"/>
          <w:spacing w:val="-1"/>
          <w:sz w:val="24"/>
          <w:szCs w:val="24"/>
          <w:lang w:eastAsia="zh-CN"/>
        </w:rPr>
        <w:t>。</w:t>
      </w:r>
    </w:p>
    <w:p w14:paraId="6620738A">
      <w:pPr>
        <w:spacing w:line="360" w:lineRule="auto"/>
        <w:ind w:left="5" w:right="74" w:firstLine="381"/>
        <w:rPr>
          <w:rFonts w:hint="eastAsia" w:ascii="宋体" w:hAnsi="宋体" w:eastAsia="宋体" w:cs="宋体"/>
          <w:sz w:val="24"/>
          <w:szCs w:val="24"/>
          <w:lang w:eastAsia="zh-CN"/>
        </w:rPr>
      </w:pPr>
      <w:r>
        <w:rPr>
          <w:rFonts w:hint="eastAsia" w:ascii="宋体" w:hAnsi="宋体" w:eastAsia="宋体" w:cs="宋体"/>
          <w:sz w:val="24"/>
          <w:szCs w:val="24"/>
          <w:lang w:eastAsia="zh-CN"/>
        </w:rPr>
        <w:t>3.6.3关于商定或确定效力的具体约定</w:t>
      </w:r>
      <w:r>
        <w:rPr>
          <w:rFonts w:hint="eastAsia" w:ascii="宋体" w:hAnsi="宋体" w:eastAsia="宋体" w:cs="宋体"/>
          <w:spacing w:val="-1"/>
          <w:sz w:val="24"/>
          <w:szCs w:val="24"/>
          <w:lang w:eastAsia="zh-CN"/>
        </w:rPr>
        <w:t>：_________；关于对工程师的确定提出异议的具体约定：_________。</w:t>
      </w:r>
    </w:p>
    <w:p w14:paraId="05FD745D">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3.7会议</w:t>
      </w:r>
    </w:p>
    <w:p w14:paraId="6765D798">
      <w:pPr>
        <w:spacing w:line="360" w:lineRule="auto"/>
        <w:ind w:left="386"/>
        <w:rPr>
          <w:rFonts w:hint="eastAsia" w:ascii="宋体" w:hAnsi="宋体" w:eastAsia="宋体" w:cs="宋体"/>
          <w:sz w:val="24"/>
          <w:szCs w:val="24"/>
          <w:lang w:eastAsia="zh-CN"/>
        </w:rPr>
      </w:pPr>
      <w:r>
        <w:rPr>
          <w:rFonts w:hint="eastAsia" w:ascii="宋体" w:hAnsi="宋体" w:eastAsia="宋体" w:cs="宋体"/>
          <w:sz w:val="24"/>
          <w:szCs w:val="24"/>
          <w:lang w:eastAsia="zh-CN"/>
        </w:rPr>
        <w:t>3.7.1关于召开会议的具体约定：_</w:t>
      </w:r>
      <w:r>
        <w:rPr>
          <w:rFonts w:hint="eastAsia" w:ascii="宋体" w:hAnsi="宋体" w:eastAsia="宋体" w:cs="宋体"/>
          <w:spacing w:val="-1"/>
          <w:sz w:val="24"/>
          <w:szCs w:val="24"/>
          <w:lang w:eastAsia="zh-CN"/>
        </w:rPr>
        <w:t>________。</w:t>
      </w:r>
    </w:p>
    <w:p w14:paraId="490CCAD2">
      <w:pPr>
        <w:spacing w:line="360" w:lineRule="auto"/>
        <w:ind w:left="386"/>
        <w:rPr>
          <w:rFonts w:hint="eastAsia" w:ascii="宋体" w:hAnsi="宋体" w:eastAsia="宋体" w:cs="宋体"/>
          <w:sz w:val="24"/>
          <w:szCs w:val="24"/>
          <w:lang w:eastAsia="zh-CN"/>
        </w:rPr>
      </w:pPr>
      <w:r>
        <w:rPr>
          <w:rFonts w:hint="eastAsia" w:ascii="宋体" w:hAnsi="宋体" w:eastAsia="宋体" w:cs="宋体"/>
          <w:sz w:val="24"/>
          <w:szCs w:val="24"/>
          <w:lang w:eastAsia="zh-CN"/>
        </w:rPr>
        <w:t>3.7.2关于保存和提供会议纪要的具体约定：</w:t>
      </w:r>
      <w:r>
        <w:rPr>
          <w:rFonts w:hint="eastAsia" w:ascii="宋体" w:hAnsi="宋体" w:eastAsia="宋体" w:cs="宋体"/>
          <w:spacing w:val="-1"/>
          <w:sz w:val="24"/>
          <w:szCs w:val="24"/>
          <w:lang w:eastAsia="zh-CN"/>
        </w:rPr>
        <w:t>_________。</w:t>
      </w:r>
    </w:p>
    <w:p w14:paraId="0ACDA3A6">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第4条承包人</w:t>
      </w:r>
    </w:p>
    <w:p w14:paraId="0E0BC41D">
      <w:pPr>
        <w:spacing w:line="360" w:lineRule="auto"/>
        <w:ind w:left="381"/>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4.1承包人的一般义务</w:t>
      </w:r>
    </w:p>
    <w:p w14:paraId="746F57D6">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承包人应履行的其他义务：</w:t>
      </w:r>
    </w:p>
    <w:p w14:paraId="6E899BA2">
      <w:pPr>
        <w:spacing w:line="360" w:lineRule="auto"/>
        <w:ind w:left="2" w:right="48" w:firstLine="378"/>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4.1.1承包人应按国家技术规范、标准、规程及发包人提出的设计要求，进行工程设计，</w:t>
      </w:r>
      <w:r>
        <w:rPr>
          <w:rFonts w:hint="eastAsia" w:ascii="宋体" w:hAnsi="宋体" w:eastAsia="宋体" w:cs="宋体"/>
          <w:spacing w:val="-1"/>
          <w:sz w:val="24"/>
          <w:szCs w:val="24"/>
          <w:lang w:eastAsia="zh-CN"/>
        </w:rPr>
        <w:t>按合同规定的进度要求提交质量合格的设计资料，并对其负责。施工图设计必须达到国家规定的施工图设计深度。</w:t>
      </w:r>
    </w:p>
    <w:p w14:paraId="30248F76">
      <w:pPr>
        <w:spacing w:line="360" w:lineRule="auto"/>
        <w:ind w:right="48"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4.1.2承包人交付设计资料及文件后，按规定参加有关的设计审查，并根据审查结论负</w:t>
      </w:r>
      <w:r>
        <w:rPr>
          <w:rFonts w:hint="eastAsia" w:ascii="宋体" w:hAnsi="宋体" w:eastAsia="宋体" w:cs="宋体"/>
          <w:spacing w:val="-1"/>
          <w:sz w:val="24"/>
          <w:szCs w:val="24"/>
          <w:lang w:eastAsia="zh-CN"/>
        </w:rPr>
        <w:t>责对不超出原定范围的内容做必要调整补充，直至通过设计审查。若施工图未通过施工图审查机构审查的，经承包人修改后，尚需进行施工图再审查的，所产生的施工图审查费用，由承包人支付。承包人按合同规定时限交付设计资料及文件后，一年内项目开始施工，负责向发包人及施工单位进行设计交底，处理有关设计问题，提出施工质量缺陷的合理处理方案和参加竣工验收。在一年内项目尚未开始施工，承包人仍负责上述工作。</w:t>
      </w:r>
    </w:p>
    <w:p w14:paraId="05A07438">
      <w:pPr>
        <w:spacing w:line="360" w:lineRule="auto"/>
        <w:ind w:right="50"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4.1.3承包人应保护发包人的知识产权，不得向第三人泄漏、转让发包人提交的产品图</w:t>
      </w:r>
      <w:r>
        <w:rPr>
          <w:rFonts w:hint="eastAsia" w:ascii="宋体" w:hAnsi="宋体" w:eastAsia="宋体" w:cs="宋体"/>
          <w:spacing w:val="-1"/>
          <w:sz w:val="24"/>
          <w:szCs w:val="24"/>
          <w:lang w:eastAsia="zh-CN"/>
        </w:rPr>
        <w:t>纸等技术经济资料。如发生以上情况并给甲方造成经济损失，发包人有权向承包人索赔，且承包人必须承担相应的法律责任。</w:t>
      </w:r>
    </w:p>
    <w:p w14:paraId="77972D5B">
      <w:pPr>
        <w:spacing w:line="360" w:lineRule="auto"/>
        <w:ind w:right="53"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4.1.4发包人要求承包人解决现场技术问题时，承包人必须在24小时内赶到工地进行问</w:t>
      </w:r>
      <w:r>
        <w:rPr>
          <w:rFonts w:hint="eastAsia" w:ascii="宋体" w:hAnsi="宋体" w:eastAsia="宋体" w:cs="宋体"/>
          <w:spacing w:val="-1"/>
          <w:sz w:val="24"/>
          <w:szCs w:val="24"/>
          <w:lang w:eastAsia="zh-CN"/>
        </w:rPr>
        <w:t>题处理，直至问题得到解决为止，设计费已包含此工作内容。</w:t>
      </w:r>
    </w:p>
    <w:p w14:paraId="7DB3F1EB">
      <w:pPr>
        <w:spacing w:line="360" w:lineRule="auto"/>
        <w:ind w:left="1" w:right="73" w:firstLine="379"/>
        <w:rPr>
          <w:rFonts w:hint="eastAsia" w:ascii="宋体" w:hAnsi="宋体" w:eastAsia="宋体" w:cs="宋体"/>
          <w:sz w:val="24"/>
          <w:szCs w:val="24"/>
          <w:lang w:eastAsia="zh-CN"/>
        </w:rPr>
      </w:pPr>
      <w:r>
        <w:rPr>
          <w:rFonts w:hint="eastAsia" w:ascii="宋体" w:hAnsi="宋体" w:eastAsia="宋体" w:cs="宋体"/>
          <w:sz w:val="24"/>
          <w:szCs w:val="24"/>
          <w:lang w:eastAsia="zh-CN"/>
        </w:rPr>
        <w:t>4.1.5承包人对设计本身的质量承担全部和终身的责任。在工程施工中和施工结束后的法定使用期限内，承包人应该承担一切与设计本身有关的工程质量问题的连带责</w:t>
      </w:r>
      <w:r>
        <w:rPr>
          <w:rFonts w:hint="eastAsia" w:ascii="宋体" w:hAnsi="宋体" w:eastAsia="宋体" w:cs="宋体"/>
          <w:spacing w:val="-1"/>
          <w:sz w:val="24"/>
          <w:szCs w:val="24"/>
          <w:lang w:eastAsia="zh-CN"/>
        </w:rPr>
        <w:t>任。</w:t>
      </w:r>
    </w:p>
    <w:p w14:paraId="7B54B9EE">
      <w:pPr>
        <w:spacing w:line="360" w:lineRule="auto"/>
        <w:ind w:left="3" w:right="84" w:firstLine="378"/>
        <w:rPr>
          <w:rFonts w:hint="eastAsia" w:ascii="宋体" w:hAnsi="宋体" w:eastAsia="宋体" w:cs="宋体"/>
          <w:sz w:val="24"/>
          <w:szCs w:val="24"/>
          <w:lang w:eastAsia="zh-CN"/>
        </w:rPr>
      </w:pPr>
      <w:r>
        <w:rPr>
          <w:rFonts w:hint="eastAsia" w:ascii="宋体" w:hAnsi="宋体" w:eastAsia="宋体" w:cs="宋体"/>
          <w:sz w:val="24"/>
          <w:szCs w:val="24"/>
          <w:lang w:eastAsia="zh-CN"/>
        </w:rPr>
        <w:t>4.1.6完成发包人要求承包人为完成该工程而不明显增加承包</w:t>
      </w:r>
      <w:r>
        <w:rPr>
          <w:rFonts w:hint="eastAsia" w:ascii="宋体" w:hAnsi="宋体" w:eastAsia="宋体" w:cs="宋体"/>
          <w:spacing w:val="-1"/>
          <w:sz w:val="24"/>
          <w:szCs w:val="24"/>
          <w:lang w:eastAsia="zh-CN"/>
        </w:rPr>
        <w:t>人工作量的设计工作，该部分工作的设计费已包含在设计费总额中。</w:t>
      </w:r>
    </w:p>
    <w:p w14:paraId="7C6DDF83">
      <w:pPr>
        <w:spacing w:line="360" w:lineRule="auto"/>
        <w:ind w:left="12" w:right="84" w:firstLine="369"/>
        <w:rPr>
          <w:rFonts w:hint="eastAsia" w:ascii="宋体" w:hAnsi="宋体" w:eastAsia="宋体" w:cs="宋体"/>
          <w:sz w:val="24"/>
          <w:szCs w:val="24"/>
          <w:lang w:eastAsia="zh-CN"/>
        </w:rPr>
      </w:pPr>
      <w:r>
        <w:rPr>
          <w:rFonts w:hint="eastAsia" w:ascii="宋体" w:hAnsi="宋体" w:eastAsia="宋体" w:cs="宋体"/>
          <w:sz w:val="24"/>
          <w:szCs w:val="24"/>
          <w:lang w:eastAsia="zh-CN"/>
        </w:rPr>
        <w:t>4.1.7项目开挖过程中不可预见的土壤及地下水污染等风险包含</w:t>
      </w:r>
      <w:r>
        <w:rPr>
          <w:rFonts w:hint="eastAsia" w:ascii="宋体" w:hAnsi="宋体" w:eastAsia="宋体" w:cs="宋体"/>
          <w:spacing w:val="-1"/>
          <w:sz w:val="24"/>
          <w:szCs w:val="24"/>
          <w:lang w:eastAsia="zh-CN"/>
        </w:rPr>
        <w:t>在本次招标范围内，风险内容由承包人承担，并按发包人要求进行规范处置，实施过程中不再增加任何费用。</w:t>
      </w:r>
    </w:p>
    <w:p w14:paraId="1E248EC4">
      <w:pPr>
        <w:spacing w:line="360" w:lineRule="auto"/>
        <w:ind w:right="69"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4.1.8项目实施过程中所有相关工作须由发包人认定为准，发包人若要暂停服务，承包</w:t>
      </w:r>
      <w:r>
        <w:rPr>
          <w:rFonts w:hint="eastAsia" w:ascii="宋体" w:hAnsi="宋体" w:eastAsia="宋体" w:cs="宋体"/>
          <w:spacing w:val="-5"/>
          <w:sz w:val="24"/>
          <w:szCs w:val="24"/>
          <w:lang w:eastAsia="zh-CN"/>
        </w:rPr>
        <w:t>人需无条件接受，在暂停服务期间，水、气、固废等污染物指标要持续进行控制，保证暂停</w:t>
      </w:r>
      <w:r>
        <w:rPr>
          <w:rFonts w:hint="eastAsia" w:ascii="宋体" w:hAnsi="宋体" w:eastAsia="宋体" w:cs="宋体"/>
          <w:spacing w:val="-2"/>
          <w:sz w:val="24"/>
          <w:szCs w:val="24"/>
          <w:lang w:eastAsia="zh-CN"/>
        </w:rPr>
        <w:t>服务期间无污染物超标，满足环保要求；本项目工程建设所需的临时道路、临时用水、用电、通信全部由承包人自行负责。</w:t>
      </w:r>
    </w:p>
    <w:p w14:paraId="7B85B783">
      <w:pPr>
        <w:spacing w:line="360" w:lineRule="auto"/>
        <w:ind w:right="83" w:firstLine="381"/>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4.1.9承包人应按照《标准施工合同》所列情形对施工质量承担</w:t>
      </w:r>
      <w:r>
        <w:rPr>
          <w:rFonts w:hint="eastAsia" w:ascii="宋体" w:hAnsi="宋体" w:eastAsia="宋体" w:cs="宋体"/>
          <w:spacing w:val="-1"/>
          <w:sz w:val="24"/>
          <w:szCs w:val="24"/>
          <w:lang w:eastAsia="zh-CN"/>
        </w:rPr>
        <w:t>全部和终身的责任，并</w:t>
      </w:r>
      <w:r>
        <w:rPr>
          <w:rFonts w:hint="eastAsia" w:ascii="宋体" w:hAnsi="宋体" w:eastAsia="宋体" w:cs="宋体"/>
          <w:sz w:val="24"/>
          <w:szCs w:val="24"/>
          <w:lang w:eastAsia="zh-CN"/>
        </w:rPr>
        <w:t>对缺陷责任期内维修（如有）的施工质量和安全承担全部责</w:t>
      </w:r>
      <w:r>
        <w:rPr>
          <w:rFonts w:hint="eastAsia" w:ascii="宋体" w:hAnsi="宋体" w:eastAsia="宋体" w:cs="宋体"/>
          <w:spacing w:val="-1"/>
          <w:sz w:val="24"/>
          <w:szCs w:val="24"/>
          <w:lang w:eastAsia="zh-CN"/>
        </w:rPr>
        <w:t>任。</w:t>
      </w:r>
    </w:p>
    <w:p w14:paraId="4C5D7DCE">
      <w:pPr>
        <w:spacing w:line="360" w:lineRule="auto"/>
        <w:ind w:right="83" w:firstLine="381"/>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4.1.10</w:t>
      </w:r>
    </w:p>
    <w:p w14:paraId="53DE1346">
      <w:pPr>
        <w:spacing w:line="360" w:lineRule="auto"/>
        <w:ind w:left="381"/>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4.2履约担保</w:t>
      </w:r>
    </w:p>
    <w:p w14:paraId="099659D9">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承包人是否提供履约担保：</w:t>
      </w:r>
      <w:r>
        <w:rPr>
          <w:rFonts w:hint="eastAsia" w:ascii="宋体" w:hAnsi="宋体" w:eastAsia="宋体" w:cs="宋体"/>
          <w:sz w:val="24"/>
          <w:szCs w:val="24"/>
          <w:u w:val="single"/>
          <w:lang w:eastAsia="zh-CN"/>
        </w:rPr>
        <w:t>是</w:t>
      </w:r>
      <w:r>
        <w:rPr>
          <w:rFonts w:hint="eastAsia" w:ascii="宋体" w:hAnsi="宋体" w:eastAsia="宋体" w:cs="宋体"/>
          <w:spacing w:val="-1"/>
          <w:sz w:val="24"/>
          <w:szCs w:val="24"/>
          <w:u w:val="single"/>
          <w:lang w:eastAsia="zh-CN"/>
        </w:rPr>
        <w:t>。</w:t>
      </w:r>
    </w:p>
    <w:p w14:paraId="68017F25">
      <w:pPr>
        <w:spacing w:line="360" w:lineRule="auto"/>
        <w:ind w:left="1" w:right="68" w:firstLine="38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履约担保的方式、金额及期限：</w:t>
      </w:r>
      <w:r>
        <w:rPr>
          <w:rFonts w:hint="eastAsia" w:ascii="宋体" w:hAnsi="宋体" w:eastAsia="宋体" w:cs="宋体"/>
          <w:sz w:val="24"/>
          <w:szCs w:val="24"/>
          <w:u w:val="single"/>
          <w:lang w:eastAsia="zh-CN"/>
        </w:rPr>
        <w:t>中标通知书发出后，且在合同签订前，承包</w:t>
      </w:r>
      <w:r>
        <w:rPr>
          <w:rFonts w:hint="eastAsia" w:ascii="宋体" w:hAnsi="宋体" w:eastAsia="宋体" w:cs="宋体"/>
          <w:spacing w:val="-1"/>
          <w:sz w:val="24"/>
          <w:szCs w:val="24"/>
          <w:u w:val="single"/>
          <w:lang w:eastAsia="zh-CN"/>
        </w:rPr>
        <w:t>人按照招标文件投标人须知前附表7.7.1约定的形式递交。因承包人原因导致履约担保期限延长(或补办</w:t>
      </w:r>
      <w:r>
        <w:rPr>
          <w:rFonts w:hint="eastAsia" w:ascii="宋体" w:hAnsi="宋体" w:eastAsia="宋体" w:cs="宋体"/>
          <w:spacing w:val="2"/>
          <w:sz w:val="24"/>
          <w:szCs w:val="24"/>
          <w:u w:val="single"/>
          <w:lang w:eastAsia="zh-CN"/>
        </w:rPr>
        <w:t>)的，有关成本或费用由承包人自行承担。原履约担保到</w:t>
      </w:r>
      <w:r>
        <w:rPr>
          <w:rFonts w:hint="eastAsia" w:ascii="宋体" w:hAnsi="宋体" w:eastAsia="宋体" w:cs="宋体"/>
          <w:spacing w:val="1"/>
          <w:sz w:val="24"/>
          <w:szCs w:val="24"/>
          <w:u w:val="single"/>
          <w:lang w:eastAsia="zh-CN"/>
        </w:rPr>
        <w:t>期后，承包人未按照发包人要求进</w:t>
      </w:r>
      <w:r>
        <w:rPr>
          <w:rFonts w:hint="eastAsia" w:ascii="宋体" w:hAnsi="宋体" w:eastAsia="宋体" w:cs="宋体"/>
          <w:spacing w:val="-1"/>
          <w:sz w:val="24"/>
          <w:szCs w:val="24"/>
          <w:u w:val="single"/>
          <w:lang w:eastAsia="zh-CN"/>
        </w:rPr>
        <w:t>行补办的，将视为承包人违约，由承包人按签约合同价的1%支付违约金，发包人有权终止合</w:t>
      </w:r>
      <w:r>
        <w:rPr>
          <w:rFonts w:hint="eastAsia" w:ascii="宋体" w:hAnsi="宋体" w:eastAsia="宋体" w:cs="宋体"/>
          <w:spacing w:val="-3"/>
          <w:sz w:val="24"/>
          <w:szCs w:val="24"/>
          <w:u w:val="single"/>
          <w:lang w:eastAsia="zh-CN"/>
        </w:rPr>
        <w:t>同。</w:t>
      </w:r>
    </w:p>
    <w:p w14:paraId="1C7799D1">
      <w:pPr>
        <w:spacing w:line="360" w:lineRule="auto"/>
        <w:ind w:left="381"/>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4.3工程总承包项目经理</w:t>
      </w:r>
    </w:p>
    <w:p w14:paraId="3354A591">
      <w:pPr>
        <w:spacing w:line="360" w:lineRule="auto"/>
        <w:ind w:left="381"/>
        <w:rPr>
          <w:rFonts w:hint="eastAsia" w:ascii="宋体" w:hAnsi="宋体" w:eastAsia="宋体" w:cs="宋体"/>
          <w:sz w:val="24"/>
          <w:szCs w:val="24"/>
          <w:lang w:eastAsia="zh-CN"/>
        </w:rPr>
      </w:pPr>
      <w:r>
        <w:rPr>
          <w:rFonts w:hint="eastAsia" w:ascii="宋体" w:hAnsi="宋体" w:eastAsia="宋体" w:cs="宋体"/>
          <w:sz w:val="24"/>
          <w:szCs w:val="24"/>
          <w:lang w:eastAsia="zh-CN"/>
        </w:rPr>
        <w:t>4.3.1工程总承包项目经理姓名：______</w:t>
      </w:r>
      <w:r>
        <w:rPr>
          <w:rFonts w:hint="eastAsia" w:ascii="宋体" w:hAnsi="宋体" w:eastAsia="宋体" w:cs="宋体"/>
          <w:spacing w:val="-1"/>
          <w:sz w:val="24"/>
          <w:szCs w:val="24"/>
          <w:lang w:eastAsia="zh-CN"/>
        </w:rPr>
        <w:t>___；</w:t>
      </w:r>
    </w:p>
    <w:p w14:paraId="51607FD2">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执业资格或职称类型：_________；</w:t>
      </w:r>
    </w:p>
    <w:p w14:paraId="7E147473">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执业资格证或职称证号码：_________；</w:t>
      </w:r>
    </w:p>
    <w:p w14:paraId="71C465D2">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联系电话：_________；</w:t>
      </w:r>
    </w:p>
    <w:p w14:paraId="168327D9">
      <w:pPr>
        <w:spacing w:line="360" w:lineRule="auto"/>
        <w:ind w:left="40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电子邮箱：_________；</w:t>
      </w:r>
    </w:p>
    <w:p w14:paraId="409C5B5E">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通信地址：_________。</w:t>
      </w:r>
    </w:p>
    <w:p w14:paraId="4969ED14">
      <w:pPr>
        <w:tabs>
          <w:tab w:val="left" w:pos="8362"/>
        </w:tabs>
        <w:spacing w:line="360" w:lineRule="auto"/>
        <w:ind w:firstLine="381"/>
        <w:jc w:val="both"/>
        <w:rPr>
          <w:rFonts w:hint="eastAsia" w:ascii="宋体" w:hAnsi="宋体" w:eastAsia="宋体" w:cs="宋体"/>
          <w:sz w:val="24"/>
          <w:szCs w:val="24"/>
          <w:lang w:eastAsia="zh-CN"/>
        </w:rPr>
      </w:pPr>
      <w:r>
        <w:rPr>
          <w:rFonts w:hint="eastAsia" w:ascii="宋体" w:hAnsi="宋体" w:eastAsia="宋体" w:cs="宋体"/>
          <w:spacing w:val="-3"/>
          <w:sz w:val="24"/>
          <w:szCs w:val="24"/>
          <w:u w:val="single"/>
          <w:lang w:eastAsia="zh-CN"/>
        </w:rPr>
        <w:t>承包人未提交劳动合同，以及没有为工程总</w:t>
      </w:r>
      <w:r>
        <w:rPr>
          <w:rFonts w:hint="eastAsia" w:ascii="宋体" w:hAnsi="宋体" w:eastAsia="宋体" w:cs="宋体"/>
          <w:spacing w:val="-4"/>
          <w:sz w:val="24"/>
          <w:szCs w:val="24"/>
          <w:u w:val="single"/>
          <w:lang w:eastAsia="zh-CN"/>
        </w:rPr>
        <w:t>承包项目经理缴纳社会保险证明的违约责任：</w:t>
      </w:r>
      <w:r>
        <w:rPr>
          <w:rFonts w:hint="eastAsia" w:ascii="宋体" w:hAnsi="宋体" w:eastAsia="宋体" w:cs="宋体"/>
          <w:spacing w:val="1"/>
          <w:sz w:val="24"/>
          <w:szCs w:val="24"/>
          <w:u w:val="single"/>
          <w:lang w:eastAsia="zh-CN"/>
        </w:rPr>
        <w:t>承包人应在中标通知书发出之日起20日内，同时将投标文件中配备的项目经</w:t>
      </w:r>
      <w:r>
        <w:rPr>
          <w:rFonts w:hint="eastAsia" w:ascii="宋体" w:hAnsi="宋体" w:eastAsia="宋体" w:cs="宋体"/>
          <w:sz w:val="24"/>
          <w:szCs w:val="24"/>
          <w:u w:val="single"/>
          <w:lang w:eastAsia="zh-CN"/>
        </w:rPr>
        <w:t>理的劳动合同、</w:t>
      </w:r>
      <w:r>
        <w:rPr>
          <w:rFonts w:hint="eastAsia" w:ascii="宋体" w:hAnsi="宋体" w:eastAsia="宋体" w:cs="宋体"/>
          <w:spacing w:val="-7"/>
          <w:sz w:val="24"/>
          <w:szCs w:val="24"/>
          <w:u w:val="single"/>
          <w:lang w:eastAsia="zh-CN"/>
        </w:rPr>
        <w:t>承包人为其缴纳的社会保险有效证明一并提交。未按要求提交的，承包人必须在7</w:t>
      </w:r>
      <w:r>
        <w:rPr>
          <w:rFonts w:hint="eastAsia" w:ascii="宋体" w:hAnsi="宋体" w:eastAsia="宋体" w:cs="宋体"/>
          <w:spacing w:val="-8"/>
          <w:sz w:val="24"/>
          <w:szCs w:val="24"/>
          <w:u w:val="single"/>
          <w:lang w:eastAsia="zh-CN"/>
        </w:rPr>
        <w:t>天内补交，</w:t>
      </w:r>
      <w:r>
        <w:rPr>
          <w:rFonts w:hint="eastAsia" w:ascii="宋体" w:hAnsi="宋体" w:eastAsia="宋体" w:cs="宋体"/>
          <w:spacing w:val="-1"/>
          <w:sz w:val="24"/>
          <w:szCs w:val="24"/>
          <w:u w:val="single"/>
          <w:lang w:eastAsia="zh-CN"/>
        </w:rPr>
        <w:t>并承担违约金1万元；7天内不能补交的，发包人有权要求承包人更换项目经理，并承担违约</w:t>
      </w:r>
      <w:r>
        <w:rPr>
          <w:rFonts w:hint="eastAsia" w:ascii="宋体" w:hAnsi="宋体" w:eastAsia="宋体" w:cs="宋体"/>
          <w:sz w:val="24"/>
          <w:szCs w:val="24"/>
          <w:u w:val="single"/>
          <w:lang w:eastAsia="zh-CN"/>
        </w:rPr>
        <w:t>金10万元。由此增加的费用和延误的工期由承</w:t>
      </w:r>
      <w:r>
        <w:rPr>
          <w:rFonts w:hint="eastAsia" w:ascii="宋体" w:hAnsi="宋体" w:eastAsia="宋体" w:cs="宋体"/>
          <w:spacing w:val="-1"/>
          <w:sz w:val="24"/>
          <w:szCs w:val="24"/>
          <w:u w:val="single"/>
          <w:lang w:eastAsia="zh-CN"/>
        </w:rPr>
        <w:t>包人承担。</w:t>
      </w:r>
    </w:p>
    <w:p w14:paraId="7FB9007D">
      <w:pPr>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br w:type="page"/>
      </w:r>
    </w:p>
    <w:p w14:paraId="7754AEA6">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1"/>
          <w:sz w:val="24"/>
          <w:szCs w:val="24"/>
          <w:u w:val="single"/>
          <w:lang w:eastAsia="zh-CN"/>
        </w:rPr>
        <w:t>4.3.2工程总承包项目</w:t>
      </w:r>
    </w:p>
    <w:p w14:paraId="06BCFE3C">
      <w:pPr>
        <w:spacing w:line="360" w:lineRule="auto"/>
        <w:ind w:left="2" w:right="71" w:firstLine="379"/>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每月在现场的时间要求：项目管理班子主要人员（包括项目经理、其他专职管理人员</w:t>
      </w:r>
      <w:r>
        <w:rPr>
          <w:rFonts w:hint="eastAsia" w:ascii="宋体" w:hAnsi="宋体" w:eastAsia="宋体" w:cs="宋体"/>
          <w:spacing w:val="-1"/>
          <w:sz w:val="24"/>
          <w:szCs w:val="24"/>
          <w:u w:val="single"/>
          <w:lang w:eastAsia="zh-CN"/>
        </w:rPr>
        <w:t>等）必须按照投标文件（响应文件）中承诺的人员进场，并常驻工程施工现场。现场到岗项目经理与投标项目经理要一致，为本工程专职项目经理，必须参加各种例会，且每个月在现</w:t>
      </w:r>
      <w:r>
        <w:rPr>
          <w:rFonts w:hint="eastAsia" w:ascii="宋体" w:hAnsi="宋体" w:eastAsia="宋体" w:cs="宋体"/>
          <w:spacing w:val="-3"/>
          <w:sz w:val="24"/>
          <w:szCs w:val="24"/>
          <w:u w:val="single"/>
          <w:lang w:eastAsia="zh-CN"/>
        </w:rPr>
        <w:t>场时间不得少于22天，每天不少于8小时，其余天数</w:t>
      </w:r>
      <w:r>
        <w:rPr>
          <w:rFonts w:hint="eastAsia" w:ascii="宋体" w:hAnsi="宋体" w:eastAsia="宋体" w:cs="宋体"/>
          <w:spacing w:val="-4"/>
          <w:sz w:val="24"/>
          <w:szCs w:val="24"/>
          <w:u w:val="single"/>
          <w:lang w:eastAsia="zh-CN"/>
        </w:rPr>
        <w:t>中的离场必须经业主代表书面意后方可，</w:t>
      </w:r>
      <w:r>
        <w:rPr>
          <w:rFonts w:hint="eastAsia" w:ascii="宋体" w:hAnsi="宋体" w:eastAsia="宋体" w:cs="宋体"/>
          <w:spacing w:val="-2"/>
          <w:sz w:val="24"/>
          <w:szCs w:val="24"/>
          <w:u w:val="single"/>
          <w:lang w:eastAsia="zh-CN"/>
        </w:rPr>
        <w:t>同时接受发包人和监理人考勤。</w:t>
      </w:r>
    </w:p>
    <w:p w14:paraId="1B71F4E1">
      <w:pPr>
        <w:spacing w:line="360" w:lineRule="auto"/>
        <w:ind w:firstLine="38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工程总承包项目经理未经批准擅自离开施工现场的违约责任：</w:t>
      </w:r>
      <w:r>
        <w:rPr>
          <w:rFonts w:hint="eastAsia" w:ascii="宋体" w:hAnsi="宋体" w:eastAsia="宋体" w:cs="宋体"/>
          <w:sz w:val="24"/>
          <w:szCs w:val="24"/>
          <w:u w:val="single"/>
          <w:lang w:eastAsia="zh-CN"/>
        </w:rPr>
        <w:t>承包人的项目经</w:t>
      </w:r>
      <w:r>
        <w:rPr>
          <w:rFonts w:hint="eastAsia" w:ascii="宋体" w:hAnsi="宋体" w:eastAsia="宋体" w:cs="宋体"/>
          <w:spacing w:val="-1"/>
          <w:sz w:val="24"/>
          <w:szCs w:val="24"/>
          <w:u w:val="single"/>
          <w:lang w:eastAsia="zh-CN"/>
        </w:rPr>
        <w:t>理（建造师）需要离开现场的，时间在半天以内的须经工程师书面同意；半天以上两天以内的须经工程师出具书面意见后报发包人现场负责人同意并送发包人备案；时间超过两天以上的，需经现场负责人出具书面意见送发包人审核同意。离开前应书面指定临时代表，代为行使项目经</w:t>
      </w:r>
      <w:r>
        <w:rPr>
          <w:rFonts w:hint="eastAsia" w:ascii="宋体" w:hAnsi="宋体" w:eastAsia="宋体" w:cs="宋体"/>
          <w:spacing w:val="1"/>
          <w:sz w:val="24"/>
          <w:szCs w:val="24"/>
          <w:u w:val="single"/>
          <w:lang w:eastAsia="zh-CN"/>
        </w:rPr>
        <w:t>理的权力：该临时代表的一切行为，发包人均认为是项目经理的行为。承包人的项</w:t>
      </w:r>
      <w:r>
        <w:rPr>
          <w:rFonts w:hint="eastAsia" w:ascii="宋体" w:hAnsi="宋体" w:eastAsia="宋体" w:cs="宋体"/>
          <w:sz w:val="24"/>
          <w:szCs w:val="24"/>
          <w:u w:val="single"/>
          <w:lang w:eastAsia="zh-CN"/>
        </w:rPr>
        <w:t>目经理(</w:t>
      </w:r>
      <w:r>
        <w:rPr>
          <w:rFonts w:hint="eastAsia" w:ascii="宋体" w:hAnsi="宋体" w:eastAsia="宋体" w:cs="宋体"/>
          <w:spacing w:val="-1"/>
          <w:sz w:val="24"/>
          <w:szCs w:val="24"/>
          <w:u w:val="single"/>
          <w:lang w:eastAsia="zh-CN"/>
        </w:rPr>
        <w:t>建造师）在工程建设过程中未按前述规定取得书面同意不得离岗，否则，第一次离岗按签约合同价的0.1%支付违约金；第二次离岗按签约合同价的0.2%支付违约金；第三次及其以后每次均按签约合同价的0.5%支付违约金（缺席、离岗次数以天为计</w:t>
      </w:r>
      <w:r>
        <w:rPr>
          <w:rFonts w:hint="eastAsia" w:ascii="宋体" w:hAnsi="宋体" w:eastAsia="宋体" w:cs="宋体"/>
          <w:spacing w:val="3"/>
          <w:sz w:val="24"/>
          <w:szCs w:val="24"/>
          <w:u w:val="single"/>
          <w:lang w:eastAsia="zh-CN"/>
        </w:rPr>
        <w:t>），</w:t>
      </w:r>
      <w:r>
        <w:rPr>
          <w:rFonts w:hint="eastAsia" w:ascii="宋体" w:hAnsi="宋体" w:eastAsia="宋体" w:cs="宋体"/>
          <w:spacing w:val="-1"/>
          <w:sz w:val="24"/>
          <w:szCs w:val="24"/>
          <w:u w:val="single"/>
          <w:lang w:eastAsia="zh-CN"/>
        </w:rPr>
        <w:t>合计（缺席、离岗）次数超过10次的或者年度累计请假超过26天的，按违约处理，除由承包人支付违约金外，由发包人按规定清除出场，记不良行为记录。发包人将承包人违约事实形成证据，提出给予承包人及该项目经理6个月至3年的在投标资格限制的处理意见，报送公共资源交易监督管</w:t>
      </w:r>
      <w:r>
        <w:rPr>
          <w:rFonts w:hint="eastAsia" w:ascii="宋体" w:hAnsi="宋体" w:eastAsia="宋体" w:cs="宋体"/>
          <w:sz w:val="24"/>
          <w:szCs w:val="24"/>
          <w:u w:val="single"/>
          <w:lang w:eastAsia="zh-CN"/>
        </w:rPr>
        <w:t>理部门会同有关部门依照法律法规的规定进行审查，落实具体的投标资格限制期限。</w:t>
      </w:r>
    </w:p>
    <w:p w14:paraId="7DCC0E3D">
      <w:pPr>
        <w:spacing w:line="360" w:lineRule="auto"/>
        <w:ind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4.3.3承包人对工程总承包项目经理的授权范围：</w:t>
      </w:r>
      <w:r>
        <w:rPr>
          <w:rFonts w:hint="eastAsia" w:ascii="宋体" w:hAnsi="宋体" w:eastAsia="宋体" w:cs="宋体"/>
          <w:sz w:val="24"/>
          <w:szCs w:val="24"/>
          <w:u w:val="single"/>
          <w:lang w:eastAsia="zh-CN"/>
        </w:rPr>
        <w:t>代表承包人负责履行合同，负责项目</w:t>
      </w:r>
      <w:r>
        <w:rPr>
          <w:rFonts w:hint="eastAsia" w:ascii="宋体" w:hAnsi="宋体" w:eastAsia="宋体" w:cs="宋体"/>
          <w:spacing w:val="-1"/>
          <w:sz w:val="24"/>
          <w:szCs w:val="24"/>
          <w:u w:val="single"/>
          <w:lang w:eastAsia="zh-CN"/>
        </w:rPr>
        <w:t>实施的计划、组织、协调、领导和控制，对项目的设计、施工质量、安全文明、进度和费用等全面负责。涉及以承包人名义在结算报告、签证文件等须签字确认的，须加盖经发包人确认的单位印章方可确认。</w:t>
      </w:r>
    </w:p>
    <w:p w14:paraId="184B2456">
      <w:pPr>
        <w:spacing w:line="360" w:lineRule="auto"/>
        <w:ind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4.3.4承包人擅自更换工程总承包项目经理的违约责任：</w:t>
      </w:r>
      <w:r>
        <w:rPr>
          <w:rFonts w:hint="eastAsia" w:ascii="宋体" w:hAnsi="宋体" w:eastAsia="宋体" w:cs="宋体"/>
          <w:sz w:val="24"/>
          <w:szCs w:val="24"/>
          <w:u w:val="single"/>
          <w:lang w:eastAsia="zh-CN"/>
        </w:rPr>
        <w:t>承包人不得擅自更换资格审查</w:t>
      </w:r>
      <w:r>
        <w:rPr>
          <w:rFonts w:hint="eastAsia" w:ascii="宋体" w:hAnsi="宋体" w:eastAsia="宋体" w:cs="宋体"/>
          <w:spacing w:val="-1"/>
          <w:sz w:val="24"/>
          <w:szCs w:val="24"/>
          <w:u w:val="single"/>
          <w:lang w:eastAsia="zh-CN"/>
        </w:rPr>
        <w:t>和投标时所报项目经理。因病不能履行职责确需更换的，须凭县级及以上医院出具的盖有医院公章的证明、病历原件提前14天通知发包人，并取得发包人同意；更换后的人员不得低于承包人投标时所报人员资质、资历和技术水平。承包人更换项目经理，即使征得了发包人的同意，该行为仍视为承包人违约（属于去世或突发性灾难致病危或因癌症等病致危已失去履行岗位职责能力的除外</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u w:val="single"/>
          <w:lang w:eastAsia="zh-CN"/>
        </w:rPr>
        <w:t>若更换项目经理的，按签约合同价的1%支付违约金，计算金额少</w:t>
      </w:r>
      <w:r>
        <w:rPr>
          <w:rFonts w:hint="eastAsia" w:ascii="宋体" w:hAnsi="宋体" w:eastAsia="宋体" w:cs="宋体"/>
          <w:spacing w:val="-2"/>
          <w:sz w:val="24"/>
          <w:szCs w:val="24"/>
          <w:u w:val="single"/>
          <w:lang w:eastAsia="zh-CN"/>
        </w:rPr>
        <w:t>于20万元的，按20万元支付违约金；因病被更换的项目经理（建造师）在治疗及康复期内(</w:t>
      </w:r>
      <w:r>
        <w:rPr>
          <w:rFonts w:hint="eastAsia" w:ascii="宋体" w:hAnsi="宋体" w:eastAsia="宋体" w:cs="宋体"/>
          <w:spacing w:val="-1"/>
          <w:sz w:val="24"/>
          <w:szCs w:val="24"/>
          <w:u w:val="single"/>
          <w:lang w:eastAsia="zh-CN"/>
        </w:rPr>
        <w:t>至少六个月）参与项目投标的，作投标无效处理。</w:t>
      </w:r>
    </w:p>
    <w:p w14:paraId="15BDB98E">
      <w:pPr>
        <w:spacing w:line="360" w:lineRule="auto"/>
        <w:ind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4.3.5承包人无正当理由拒绝更换工程总承包项目经理的违约责任：</w:t>
      </w:r>
      <w:r>
        <w:rPr>
          <w:rFonts w:hint="eastAsia" w:ascii="宋体" w:hAnsi="宋体" w:eastAsia="宋体" w:cs="宋体"/>
          <w:sz w:val="24"/>
          <w:szCs w:val="24"/>
          <w:u w:val="single"/>
          <w:lang w:eastAsia="zh-CN"/>
        </w:rPr>
        <w:t>发包人发现项目经</w:t>
      </w:r>
      <w:r>
        <w:rPr>
          <w:rFonts w:hint="eastAsia" w:ascii="宋体" w:hAnsi="宋体" w:eastAsia="宋体" w:cs="宋体"/>
          <w:spacing w:val="-1"/>
          <w:sz w:val="24"/>
          <w:szCs w:val="24"/>
          <w:u w:val="single"/>
          <w:lang w:eastAsia="zh-CN"/>
        </w:rPr>
        <w:t>理不能胜任项目工作的，包括发现项目经理缺乏管理经验或因管理不到位导致管理混乱或出现质量事故、安全责任的，除依法追究其责任外，可要求承包人更换和调整项目经理，直至</w:t>
      </w:r>
      <w:r>
        <w:rPr>
          <w:rFonts w:hint="eastAsia" w:ascii="宋体" w:hAnsi="宋体" w:eastAsia="宋体" w:cs="宋体"/>
          <w:spacing w:val="2"/>
          <w:sz w:val="24"/>
          <w:szCs w:val="24"/>
          <w:u w:val="single"/>
          <w:lang w:eastAsia="zh-CN"/>
        </w:rPr>
        <w:t>满足工程建设需要为止。出现前述情况的，比照4.3.4</w:t>
      </w:r>
      <w:r>
        <w:rPr>
          <w:rFonts w:hint="eastAsia" w:ascii="宋体" w:hAnsi="宋体" w:eastAsia="宋体" w:cs="宋体"/>
          <w:spacing w:val="1"/>
          <w:sz w:val="24"/>
          <w:szCs w:val="24"/>
          <w:u w:val="single"/>
          <w:lang w:eastAsia="zh-CN"/>
        </w:rPr>
        <w:t>条的规定处理。承包人拒绝更换和调</w:t>
      </w:r>
      <w:r>
        <w:rPr>
          <w:rFonts w:hint="eastAsia" w:ascii="宋体" w:hAnsi="宋体" w:eastAsia="宋体" w:cs="宋体"/>
          <w:spacing w:val="-1"/>
          <w:sz w:val="24"/>
          <w:szCs w:val="24"/>
          <w:u w:val="single"/>
          <w:lang w:eastAsia="zh-CN"/>
        </w:rPr>
        <w:t>整项目经理的，履约保证金不予退还。发包人将承包人违约事实形成证据，提出给予中承包人及该项目经理6个月至3年的在投标资格限制的处理意见，报送公共资源交易监督管</w:t>
      </w:r>
      <w:r>
        <w:rPr>
          <w:rFonts w:hint="eastAsia" w:ascii="宋体" w:hAnsi="宋体" w:eastAsia="宋体" w:cs="宋体"/>
          <w:sz w:val="24"/>
          <w:szCs w:val="24"/>
          <w:u w:val="single"/>
          <w:lang w:eastAsia="zh-CN"/>
        </w:rPr>
        <w:t>理部门会同有关部门依照法律法规的规定进行审查，落实具体的投标资格限制期限。</w:t>
      </w:r>
    </w:p>
    <w:p w14:paraId="2A844CE9">
      <w:pPr>
        <w:spacing w:line="360" w:lineRule="auto"/>
        <w:ind w:left="381"/>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4.4承包人人员</w:t>
      </w:r>
    </w:p>
    <w:p w14:paraId="308755B2">
      <w:pPr>
        <w:spacing w:line="360" w:lineRule="auto"/>
        <w:ind w:left="38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4.4.1人员安排</w:t>
      </w:r>
    </w:p>
    <w:p w14:paraId="52EF5957">
      <w:pPr>
        <w:spacing w:line="360" w:lineRule="auto"/>
        <w:ind w:left="383"/>
        <w:rPr>
          <w:rFonts w:hint="eastAsia" w:ascii="宋体" w:hAnsi="宋体" w:eastAsia="宋体" w:cs="宋体"/>
          <w:sz w:val="24"/>
          <w:szCs w:val="24"/>
          <w:lang w:eastAsia="zh-CN"/>
        </w:rPr>
      </w:pPr>
      <w:r>
        <w:rPr>
          <w:rFonts w:hint="eastAsia" w:ascii="宋体" w:hAnsi="宋体" w:eastAsia="宋体" w:cs="宋体"/>
          <w:sz w:val="24"/>
          <w:szCs w:val="24"/>
          <w:lang w:eastAsia="zh-CN"/>
        </w:rPr>
        <w:t>承包人提交项目管理机构及施工现场人员安排的报告的期限：</w:t>
      </w:r>
      <w:r>
        <w:rPr>
          <w:rFonts w:hint="eastAsia" w:ascii="宋体" w:hAnsi="宋体" w:eastAsia="宋体" w:cs="宋体"/>
          <w:spacing w:val="-1"/>
          <w:sz w:val="24"/>
          <w:szCs w:val="24"/>
          <w:u w:val="single"/>
          <w:lang w:eastAsia="zh-CN"/>
        </w:rPr>
        <w:t>。</w:t>
      </w:r>
    </w:p>
    <w:p w14:paraId="434349FA">
      <w:pPr>
        <w:spacing w:line="360" w:lineRule="auto"/>
        <w:ind w:left="4" w:right="5" w:firstLine="378"/>
        <w:rPr>
          <w:rFonts w:hint="eastAsia" w:ascii="宋体" w:hAnsi="宋体" w:eastAsia="宋体" w:cs="宋体"/>
          <w:sz w:val="24"/>
          <w:szCs w:val="24"/>
          <w:lang w:eastAsia="zh-CN"/>
        </w:rPr>
      </w:pPr>
      <w:r>
        <w:rPr>
          <w:rFonts w:hint="eastAsia" w:ascii="宋体" w:hAnsi="宋体" w:eastAsia="宋体" w:cs="宋体"/>
          <w:sz w:val="24"/>
          <w:szCs w:val="24"/>
          <w:lang w:eastAsia="zh-CN"/>
        </w:rPr>
        <w:t>承包人提交关键人员信息及注册执业资格等证明其具备担任关键人员能力的相关文件的</w:t>
      </w:r>
      <w:r>
        <w:rPr>
          <w:rFonts w:hint="eastAsia" w:ascii="宋体" w:hAnsi="宋体" w:eastAsia="宋体" w:cs="宋体"/>
          <w:spacing w:val="-5"/>
          <w:sz w:val="24"/>
          <w:szCs w:val="24"/>
          <w:lang w:eastAsia="zh-CN"/>
        </w:rPr>
        <w:t>期限：</w:t>
      </w:r>
      <w:r>
        <w:rPr>
          <w:rFonts w:hint="eastAsia" w:ascii="宋体" w:hAnsi="宋体" w:eastAsia="宋体" w:cs="宋体"/>
          <w:spacing w:val="-5"/>
          <w:sz w:val="24"/>
          <w:szCs w:val="24"/>
          <w:u w:val="single"/>
          <w:lang w:eastAsia="zh-CN"/>
        </w:rPr>
        <w:t>。</w:t>
      </w:r>
    </w:p>
    <w:p w14:paraId="0779E0D4">
      <w:pPr>
        <w:spacing w:line="360" w:lineRule="auto"/>
        <w:ind w:left="382"/>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4.4.2关键人员更换</w:t>
      </w:r>
    </w:p>
    <w:p w14:paraId="69B2D2CB">
      <w:pPr>
        <w:spacing w:line="360" w:lineRule="auto"/>
        <w:ind w:firstLine="38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承包人擅自更换关键人员的违约责任：</w:t>
      </w:r>
      <w:r>
        <w:rPr>
          <w:rFonts w:hint="eastAsia" w:ascii="宋体" w:hAnsi="宋体" w:eastAsia="宋体" w:cs="宋体"/>
          <w:sz w:val="24"/>
          <w:szCs w:val="24"/>
          <w:u w:val="single"/>
          <w:lang w:eastAsia="zh-CN"/>
        </w:rPr>
        <w:t>承包人不得擅自更换资格审查和投标时所报主要</w:t>
      </w:r>
      <w:r>
        <w:rPr>
          <w:rFonts w:hint="eastAsia" w:ascii="宋体" w:hAnsi="宋体" w:eastAsia="宋体" w:cs="宋体"/>
          <w:spacing w:val="-1"/>
          <w:sz w:val="24"/>
          <w:szCs w:val="24"/>
          <w:u w:val="single"/>
          <w:lang w:eastAsia="zh-CN"/>
        </w:rPr>
        <w:t>施工管理人员。因病不能履行职责确需更换的，须凭县级及以上医院出具的盖有医院公章的证明、病历原件提前14天通知发包人，并取得发包人同意；更换后的人员不得低于中标人投标时所报人员资质、资历和技术水平。承包人更换主要施工管理人员，即使征得了发包人的同意，该行为仍视为承包人违约（属于去世或突发性灾难致病危或因癌症等病致危已失去履行岗位职责能力的除外</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u w:val="single"/>
          <w:lang w:eastAsia="zh-CN"/>
        </w:rPr>
        <w:t>若更换项目经理，按签约合同价的1%支付违约金，计算金额少于20万元的，按20万元支付违约金。若更换其他主要施工管理人员，按签约合同价的0.5%支付违约金。因病被更换的主要施工管理人员在治疗及康复期内（至少六个月）参与的投标，作投标无效处理。</w:t>
      </w:r>
    </w:p>
    <w:p w14:paraId="0C4DB547">
      <w:pPr>
        <w:spacing w:line="360" w:lineRule="auto"/>
        <w:ind w:firstLine="383"/>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承包人无正当理由拒绝撤换关键人员的违约责任：</w:t>
      </w:r>
      <w:r>
        <w:rPr>
          <w:rFonts w:hint="eastAsia" w:ascii="宋体" w:hAnsi="宋体" w:eastAsia="宋体" w:cs="宋体"/>
          <w:sz w:val="24"/>
          <w:szCs w:val="24"/>
          <w:u w:val="single"/>
          <w:lang w:eastAsia="zh-CN"/>
        </w:rPr>
        <w:t>发包人发现主要施工管理人员不能胜</w:t>
      </w:r>
      <w:r>
        <w:rPr>
          <w:rFonts w:hint="eastAsia" w:ascii="宋体" w:hAnsi="宋体" w:eastAsia="宋体" w:cs="宋体"/>
          <w:spacing w:val="-1"/>
          <w:sz w:val="24"/>
          <w:szCs w:val="24"/>
          <w:u w:val="single"/>
          <w:lang w:eastAsia="zh-CN"/>
        </w:rPr>
        <w:t>任项目工作的，包括发现缺乏管理经验或因管理不到位导致管理混乱或出现质量事故、安全责任的，除依法追究其责任外，可要求承包人更换和调整主要施工管理人员，直至满足工程建设需要为止。承包人拒绝更换和调整主要施工管理人员的，履约保证金不予退还。发包人将承包人违约事实形成证据，提出给予承包人及该主要施工管理人员6个月至3年的投标资格限制的处理意见，报送公共资源交易监督管理部门会同有关部门依照法律法规的规定进行审查，落实具体的投标资格限制期限。</w:t>
      </w:r>
    </w:p>
    <w:p w14:paraId="1C301E1E">
      <w:pPr>
        <w:spacing w:line="360" w:lineRule="auto"/>
        <w:ind w:left="382"/>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4.4.3现场管理关键人员在岗要求</w:t>
      </w:r>
    </w:p>
    <w:p w14:paraId="7D0016A6">
      <w:pPr>
        <w:spacing w:line="360" w:lineRule="auto"/>
        <w:ind w:left="2" w:right="4" w:firstLine="3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承包人现场管理关键人员离开施工现场的批准要求：</w:t>
      </w:r>
      <w:r>
        <w:rPr>
          <w:rFonts w:hint="eastAsia" w:ascii="宋体" w:hAnsi="宋体" w:eastAsia="宋体" w:cs="宋体"/>
          <w:sz w:val="24"/>
          <w:szCs w:val="24"/>
          <w:u w:val="single"/>
          <w:lang w:eastAsia="zh-CN"/>
        </w:rPr>
        <w:t>对承包人主要施工管理人员全部实</w:t>
      </w:r>
      <w:r>
        <w:rPr>
          <w:rFonts w:hint="eastAsia" w:ascii="宋体" w:hAnsi="宋体" w:eastAsia="宋体" w:cs="宋体"/>
          <w:spacing w:val="2"/>
          <w:sz w:val="24"/>
          <w:szCs w:val="24"/>
          <w:u w:val="single"/>
          <w:lang w:eastAsia="zh-CN"/>
        </w:rPr>
        <w:t>行考勤，并与</w:t>
      </w:r>
      <w:r>
        <w:rPr>
          <w:rFonts w:hint="eastAsia" w:ascii="宋体" w:hAnsi="宋体" w:eastAsia="宋体" w:cs="宋体"/>
          <w:sz w:val="24"/>
          <w:szCs w:val="24"/>
          <w:u w:val="single"/>
          <w:lang w:eastAsia="zh-CN"/>
        </w:rPr>
        <w:t>IFA</w:t>
      </w:r>
      <w:r>
        <w:rPr>
          <w:rFonts w:hint="eastAsia" w:ascii="宋体" w:hAnsi="宋体" w:eastAsia="宋体" w:cs="宋体"/>
          <w:spacing w:val="2"/>
          <w:sz w:val="24"/>
          <w:szCs w:val="24"/>
          <w:u w:val="single"/>
          <w:lang w:eastAsia="zh-CN"/>
        </w:rPr>
        <w:t>系统对接。除项目经理外，项目班子中其他主要</w:t>
      </w:r>
      <w:r>
        <w:rPr>
          <w:rFonts w:hint="eastAsia" w:ascii="宋体" w:hAnsi="宋体" w:eastAsia="宋体" w:cs="宋体"/>
          <w:spacing w:val="1"/>
          <w:sz w:val="24"/>
          <w:szCs w:val="24"/>
          <w:u w:val="single"/>
          <w:lang w:eastAsia="zh-CN"/>
        </w:rPr>
        <w:t>施工管理人员，每个月在</w:t>
      </w:r>
      <w:r>
        <w:rPr>
          <w:rFonts w:hint="eastAsia" w:ascii="宋体" w:hAnsi="宋体" w:eastAsia="宋体" w:cs="宋体"/>
          <w:spacing w:val="2"/>
          <w:sz w:val="24"/>
          <w:szCs w:val="24"/>
          <w:u w:val="single"/>
          <w:lang w:eastAsia="zh-CN"/>
        </w:rPr>
        <w:t>现场时间不得少于22天，每天不少于8小时，其余</w:t>
      </w:r>
      <w:r>
        <w:rPr>
          <w:rFonts w:hint="eastAsia" w:ascii="宋体" w:hAnsi="宋体" w:eastAsia="宋体" w:cs="宋体"/>
          <w:spacing w:val="1"/>
          <w:sz w:val="24"/>
          <w:szCs w:val="24"/>
          <w:u w:val="single"/>
          <w:lang w:eastAsia="zh-CN"/>
        </w:rPr>
        <w:t>天数中的离场必须经业主代表书面同意后</w:t>
      </w:r>
      <w:r>
        <w:rPr>
          <w:rFonts w:hint="eastAsia" w:ascii="宋体" w:hAnsi="宋体" w:eastAsia="宋体" w:cs="宋体"/>
          <w:spacing w:val="-1"/>
          <w:sz w:val="24"/>
          <w:szCs w:val="24"/>
          <w:u w:val="single"/>
          <w:lang w:eastAsia="zh-CN"/>
        </w:rPr>
        <w:t>方可，同时接受发包人和监理人考勤。</w:t>
      </w:r>
    </w:p>
    <w:p w14:paraId="0771CF86">
      <w:pPr>
        <w:spacing w:line="360" w:lineRule="auto"/>
        <w:ind w:left="2" w:firstLine="380"/>
        <w:rPr>
          <w:rFonts w:hint="eastAsia" w:ascii="宋体" w:hAnsi="宋体" w:eastAsia="宋体" w:cs="宋体"/>
          <w:sz w:val="24"/>
          <w:szCs w:val="24"/>
          <w:lang w:eastAsia="zh-CN"/>
        </w:rPr>
      </w:pPr>
      <w:r>
        <w:rPr>
          <w:rFonts w:hint="eastAsia" w:ascii="宋体" w:hAnsi="宋体" w:eastAsia="宋体" w:cs="宋体"/>
          <w:spacing w:val="-3"/>
          <w:sz w:val="24"/>
          <w:szCs w:val="24"/>
          <w:u w:val="single"/>
          <w:lang w:eastAsia="zh-CN"/>
        </w:rPr>
        <w:t>承包人的主要施工管理人员离开施工现场每月累计不超过5天的，应报监理人同意；离</w:t>
      </w:r>
      <w:r>
        <w:rPr>
          <w:rFonts w:hint="eastAsia" w:ascii="宋体" w:hAnsi="宋体" w:eastAsia="宋体" w:cs="宋体"/>
          <w:sz w:val="24"/>
          <w:szCs w:val="24"/>
          <w:u w:val="single"/>
          <w:lang w:eastAsia="zh-CN"/>
        </w:rPr>
        <w:t>开施工现场每月累计超过5天的，应书面报监理人同意并征得发</w:t>
      </w:r>
      <w:r>
        <w:rPr>
          <w:rFonts w:hint="eastAsia" w:ascii="宋体" w:hAnsi="宋体" w:eastAsia="宋体" w:cs="宋体"/>
          <w:spacing w:val="-1"/>
          <w:sz w:val="24"/>
          <w:szCs w:val="24"/>
          <w:u w:val="single"/>
          <w:lang w:eastAsia="zh-CN"/>
        </w:rPr>
        <w:t>包人同意。</w:t>
      </w:r>
    </w:p>
    <w:p w14:paraId="34330CD7">
      <w:pPr>
        <w:spacing w:line="360" w:lineRule="auto"/>
        <w:ind w:left="3" w:firstLine="379"/>
        <w:jc w:val="both"/>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承包人的主要施工管理人员（项目经理）在工程建设过程中未按前述规定取得书面同</w:t>
      </w:r>
      <w:r>
        <w:rPr>
          <w:rFonts w:hint="eastAsia" w:ascii="宋体" w:hAnsi="宋体" w:eastAsia="宋体" w:cs="宋体"/>
          <w:spacing w:val="-1"/>
          <w:sz w:val="24"/>
          <w:szCs w:val="24"/>
          <w:u w:val="single"/>
          <w:lang w:eastAsia="zh-CN"/>
        </w:rPr>
        <w:t>意不得离岗，否则，第一次离岗按签约合同价的0.1%支付违约金；第二次离岗按签约合同价的0.2%支付违约金；第三次及其以后每次均按签约合同价的0.5%支付违约金（缺席、离岗次数以天为计</w:t>
      </w:r>
      <w:r>
        <w:rPr>
          <w:rFonts w:hint="eastAsia" w:ascii="宋体" w:hAnsi="宋体" w:eastAsia="宋体" w:cs="宋体"/>
          <w:sz w:val="24"/>
          <w:szCs w:val="24"/>
          <w:u w:val="single"/>
          <w:lang w:eastAsia="zh-CN"/>
        </w:rPr>
        <w:t>），</w:t>
      </w:r>
      <w:r>
        <w:rPr>
          <w:rFonts w:hint="eastAsia" w:ascii="宋体" w:hAnsi="宋体" w:eastAsia="宋体" w:cs="宋体"/>
          <w:spacing w:val="-1"/>
          <w:sz w:val="24"/>
          <w:szCs w:val="24"/>
          <w:u w:val="single"/>
          <w:lang w:eastAsia="zh-CN"/>
        </w:rPr>
        <w:t>合计（缺席、离岗）次数超过10次的或者年度累计请假超过26天的，按违约</w:t>
      </w:r>
      <w:r>
        <w:rPr>
          <w:rFonts w:hint="eastAsia" w:ascii="宋体" w:hAnsi="宋体" w:eastAsia="宋体" w:cs="宋体"/>
          <w:sz w:val="24"/>
          <w:szCs w:val="24"/>
          <w:u w:val="single"/>
          <w:lang w:eastAsia="zh-CN"/>
        </w:rPr>
        <w:t>处理，除由承包人支付违约金外，由发包人按规定清除出场，记不良</w:t>
      </w:r>
      <w:r>
        <w:rPr>
          <w:rFonts w:hint="eastAsia" w:ascii="宋体" w:hAnsi="宋体" w:eastAsia="宋体" w:cs="宋体"/>
          <w:spacing w:val="-1"/>
          <w:sz w:val="24"/>
          <w:szCs w:val="24"/>
          <w:u w:val="single"/>
          <w:lang w:eastAsia="zh-CN"/>
        </w:rPr>
        <w:t>行为记录。</w:t>
      </w:r>
    </w:p>
    <w:p w14:paraId="258060AF">
      <w:pPr>
        <w:spacing w:line="360" w:lineRule="auto"/>
        <w:ind w:left="19" w:right="5" w:firstLine="364"/>
        <w:rPr>
          <w:rFonts w:hint="eastAsia" w:ascii="宋体" w:hAnsi="宋体" w:eastAsia="宋体" w:cs="宋体"/>
          <w:sz w:val="24"/>
          <w:szCs w:val="24"/>
          <w:lang w:eastAsia="zh-CN"/>
        </w:rPr>
      </w:pPr>
      <w:r>
        <w:rPr>
          <w:rFonts w:hint="eastAsia" w:ascii="宋体" w:hAnsi="宋体" w:eastAsia="宋体" w:cs="宋体"/>
          <w:sz w:val="24"/>
          <w:szCs w:val="24"/>
          <w:lang w:eastAsia="zh-CN"/>
        </w:rPr>
        <w:t>承包人主要施工管理人员擅自离开施工现场的违约责任：</w:t>
      </w:r>
      <w:r>
        <w:rPr>
          <w:rFonts w:hint="eastAsia" w:ascii="宋体" w:hAnsi="宋体" w:eastAsia="宋体" w:cs="宋体"/>
          <w:sz w:val="24"/>
          <w:szCs w:val="24"/>
          <w:u w:val="single"/>
          <w:lang w:eastAsia="zh-CN"/>
        </w:rPr>
        <w:t>项目班子其他成员有前述行为</w:t>
      </w:r>
      <w:r>
        <w:rPr>
          <w:rFonts w:hint="eastAsia" w:ascii="宋体" w:hAnsi="宋体" w:eastAsia="宋体" w:cs="宋体"/>
          <w:spacing w:val="-2"/>
          <w:sz w:val="24"/>
          <w:szCs w:val="24"/>
          <w:u w:val="single"/>
          <w:lang w:eastAsia="zh-CN"/>
        </w:rPr>
        <w:t>的，按前述标准的50%支付违约金。</w:t>
      </w:r>
    </w:p>
    <w:p w14:paraId="4909E57A">
      <w:pPr>
        <w:spacing w:line="360" w:lineRule="auto"/>
        <w:ind w:left="382"/>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4.5分包</w:t>
      </w:r>
    </w:p>
    <w:p w14:paraId="1BB5533D">
      <w:pPr>
        <w:spacing w:line="360" w:lineRule="auto"/>
        <w:ind w:left="388"/>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4.5.1一般约定</w:t>
      </w:r>
    </w:p>
    <w:p w14:paraId="1646FD71">
      <w:pPr>
        <w:spacing w:line="360" w:lineRule="auto"/>
        <w:ind w:left="3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禁止分包的工程包括：</w:t>
      </w:r>
      <w:r>
        <w:rPr>
          <w:rFonts w:hint="eastAsia" w:ascii="宋体" w:hAnsi="宋体" w:eastAsia="宋体" w:cs="宋体"/>
          <w:spacing w:val="-1"/>
          <w:sz w:val="24"/>
          <w:szCs w:val="24"/>
          <w:u w:val="single"/>
          <w:lang w:eastAsia="zh-CN"/>
        </w:rPr>
        <w:t>按照国家现行法律法规执行。</w:t>
      </w:r>
    </w:p>
    <w:p w14:paraId="3C7586F5">
      <w:pPr>
        <w:spacing w:line="360" w:lineRule="auto"/>
        <w:ind w:left="388"/>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4.5.2分包的确定</w:t>
      </w:r>
    </w:p>
    <w:p w14:paraId="03C7339C">
      <w:pPr>
        <w:spacing w:line="360" w:lineRule="auto"/>
        <w:ind w:left="8" w:firstLine="38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允许分包的工程包括：</w:t>
      </w:r>
      <w:r>
        <w:rPr>
          <w:rFonts w:hint="eastAsia" w:ascii="宋体" w:hAnsi="宋体" w:eastAsia="宋体" w:cs="宋体"/>
          <w:sz w:val="24"/>
          <w:szCs w:val="24"/>
          <w:u w:val="single"/>
          <w:lang w:eastAsia="zh-CN"/>
        </w:rPr>
        <w:t>须符合相关法律法规及规范的要求，分包单位</w:t>
      </w:r>
      <w:r>
        <w:rPr>
          <w:rFonts w:hint="eastAsia" w:ascii="宋体" w:hAnsi="宋体" w:eastAsia="宋体" w:cs="宋体"/>
          <w:spacing w:val="-1"/>
          <w:sz w:val="24"/>
          <w:szCs w:val="24"/>
          <w:u w:val="single"/>
          <w:lang w:eastAsia="zh-CN"/>
        </w:rPr>
        <w:t>应具备相应的资质</w:t>
      </w:r>
      <w:r>
        <w:rPr>
          <w:rFonts w:hint="eastAsia" w:ascii="宋体" w:hAnsi="宋体" w:eastAsia="宋体" w:cs="宋体"/>
          <w:sz w:val="24"/>
          <w:szCs w:val="24"/>
          <w:u w:val="single"/>
          <w:lang w:eastAsia="zh-CN"/>
        </w:rPr>
        <w:t>条件和能力，且须经过发包人的认可，严禁擅自分包。一经发现擅自分包的，每发现一次，承包人应承担100000元/次违约金，且发包人有权</w:t>
      </w:r>
      <w:r>
        <w:rPr>
          <w:rFonts w:hint="eastAsia" w:ascii="宋体" w:hAnsi="宋体" w:eastAsia="宋体" w:cs="宋体"/>
          <w:spacing w:val="-1"/>
          <w:sz w:val="24"/>
          <w:szCs w:val="24"/>
          <w:u w:val="single"/>
          <w:lang w:eastAsia="zh-CN"/>
        </w:rPr>
        <w:t>解除合同。</w:t>
      </w:r>
    </w:p>
    <w:p w14:paraId="0C13898B">
      <w:pPr>
        <w:spacing w:line="360" w:lineRule="auto"/>
        <w:ind w:left="3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其他关于分包的约定：</w:t>
      </w:r>
      <w:r>
        <w:rPr>
          <w:rFonts w:hint="eastAsia" w:ascii="宋体" w:hAnsi="宋体" w:eastAsia="宋体" w:cs="宋体"/>
          <w:spacing w:val="1"/>
          <w:sz w:val="24"/>
          <w:szCs w:val="24"/>
          <w:u w:val="single"/>
          <w:lang w:eastAsia="zh-CN"/>
        </w:rPr>
        <w:t>/。</w:t>
      </w:r>
    </w:p>
    <w:p w14:paraId="649050DE">
      <w:pPr>
        <w:spacing w:line="360" w:lineRule="auto"/>
        <w:ind w:left="388"/>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4.5.5分包合同价款支付</w:t>
      </w:r>
    </w:p>
    <w:p w14:paraId="0F7B3768">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关于分包合同价款支付的约定：</w:t>
      </w:r>
      <w:r>
        <w:rPr>
          <w:rFonts w:hint="eastAsia" w:ascii="宋体" w:hAnsi="宋体" w:eastAsia="宋体" w:cs="宋体"/>
          <w:sz w:val="24"/>
          <w:szCs w:val="24"/>
          <w:u w:val="single"/>
          <w:lang w:eastAsia="zh-CN"/>
        </w:rPr>
        <w:t>。</w:t>
      </w:r>
    </w:p>
    <w:p w14:paraId="050953B2">
      <w:pPr>
        <w:spacing w:line="360" w:lineRule="auto"/>
        <w:ind w:left="388"/>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4.6联合体</w:t>
      </w:r>
    </w:p>
    <w:p w14:paraId="51DC8F02">
      <w:pPr>
        <w:spacing w:line="360" w:lineRule="auto"/>
        <w:ind w:left="388"/>
        <w:rPr>
          <w:rFonts w:hint="eastAsia" w:ascii="宋体" w:hAnsi="宋体" w:eastAsia="宋体" w:cs="宋体"/>
          <w:sz w:val="24"/>
          <w:szCs w:val="24"/>
          <w:lang w:eastAsia="zh-CN"/>
        </w:rPr>
      </w:pPr>
      <w:r>
        <w:rPr>
          <w:rFonts w:hint="eastAsia" w:ascii="宋体" w:hAnsi="宋体" w:eastAsia="宋体" w:cs="宋体"/>
          <w:sz w:val="24"/>
          <w:szCs w:val="24"/>
          <w:lang w:eastAsia="zh-CN"/>
        </w:rPr>
        <w:t>4.6.2联合体各成员的分工、费用收取、发票开具等事项：</w:t>
      </w:r>
      <w:r>
        <w:rPr>
          <w:rFonts w:hint="eastAsia" w:ascii="宋体" w:hAnsi="宋体" w:eastAsia="宋体" w:cs="宋体"/>
          <w:spacing w:val="-1"/>
          <w:sz w:val="24"/>
          <w:szCs w:val="24"/>
          <w:u w:val="single"/>
          <w:lang w:eastAsia="zh-CN"/>
        </w:rPr>
        <w:t>。</w:t>
      </w:r>
    </w:p>
    <w:p w14:paraId="1567142C">
      <w:pPr>
        <w:spacing w:line="360" w:lineRule="auto"/>
        <w:ind w:left="388"/>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4.7承包人现场查勘</w:t>
      </w:r>
    </w:p>
    <w:p w14:paraId="2E7DAAA9">
      <w:pPr>
        <w:spacing w:line="360" w:lineRule="auto"/>
        <w:ind w:left="38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4.7.1双方当事人对现场查勘的责任承担的约定</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w:t>
      </w:r>
    </w:p>
    <w:p w14:paraId="2608E498">
      <w:pPr>
        <w:spacing w:line="360" w:lineRule="auto"/>
        <w:ind w:left="388"/>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4.8不可预见的困难</w:t>
      </w:r>
    </w:p>
    <w:p w14:paraId="3E3674D5">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不可预见的困难包括：</w:t>
      </w:r>
      <w:r>
        <w:rPr>
          <w:rFonts w:hint="eastAsia" w:ascii="宋体" w:hAnsi="宋体" w:eastAsia="宋体" w:cs="宋体"/>
          <w:spacing w:val="-1"/>
          <w:sz w:val="24"/>
          <w:szCs w:val="24"/>
          <w:u w:val="single"/>
          <w:lang w:eastAsia="zh-CN"/>
        </w:rPr>
        <w:t>执行通用条款。</w:t>
      </w:r>
    </w:p>
    <w:p w14:paraId="4A2CF282">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第5条设计</w:t>
      </w:r>
    </w:p>
    <w:p w14:paraId="39604AFB">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5.2承包人文件审查</w:t>
      </w:r>
    </w:p>
    <w:p w14:paraId="3E294C49">
      <w:pPr>
        <w:spacing w:line="360" w:lineRule="auto"/>
        <w:ind w:left="393"/>
        <w:rPr>
          <w:rFonts w:hint="eastAsia" w:ascii="宋体" w:hAnsi="宋体" w:eastAsia="宋体" w:cs="宋体"/>
          <w:sz w:val="24"/>
          <w:szCs w:val="24"/>
          <w:lang w:eastAsia="zh-CN"/>
        </w:rPr>
      </w:pPr>
      <w:r>
        <w:rPr>
          <w:rFonts w:hint="eastAsia" w:ascii="宋体" w:hAnsi="宋体" w:eastAsia="宋体" w:cs="宋体"/>
          <w:sz w:val="24"/>
          <w:szCs w:val="24"/>
          <w:lang w:eastAsia="zh-CN"/>
        </w:rPr>
        <w:t>5.2.1承包人文件审查的期限：</w:t>
      </w:r>
      <w:r>
        <w:rPr>
          <w:rFonts w:hint="eastAsia" w:ascii="宋体" w:hAnsi="宋体" w:eastAsia="宋体" w:cs="宋体"/>
          <w:sz w:val="24"/>
          <w:szCs w:val="24"/>
          <w:u w:val="single"/>
          <w:lang w:eastAsia="zh-CN"/>
        </w:rPr>
        <w:t>根据实际进</w:t>
      </w:r>
      <w:r>
        <w:rPr>
          <w:rFonts w:hint="eastAsia" w:ascii="宋体" w:hAnsi="宋体" w:eastAsia="宋体" w:cs="宋体"/>
          <w:spacing w:val="-1"/>
          <w:sz w:val="24"/>
          <w:szCs w:val="24"/>
          <w:u w:val="single"/>
          <w:lang w:eastAsia="zh-CN"/>
        </w:rPr>
        <w:t>度，按发包人要求约定。</w:t>
      </w:r>
    </w:p>
    <w:p w14:paraId="516062D6">
      <w:pPr>
        <w:spacing w:line="360" w:lineRule="auto"/>
        <w:ind w:left="8" w:right="55" w:firstLine="385"/>
        <w:rPr>
          <w:rFonts w:hint="eastAsia" w:ascii="宋体" w:hAnsi="宋体" w:eastAsia="宋体" w:cs="宋体"/>
          <w:sz w:val="24"/>
          <w:szCs w:val="24"/>
          <w:lang w:eastAsia="zh-CN"/>
        </w:rPr>
      </w:pPr>
      <w:r>
        <w:rPr>
          <w:rFonts w:hint="eastAsia" w:ascii="宋体" w:hAnsi="宋体" w:eastAsia="宋体" w:cs="宋体"/>
          <w:sz w:val="24"/>
          <w:szCs w:val="24"/>
          <w:lang w:eastAsia="zh-CN"/>
        </w:rPr>
        <w:t>5.2.2审查会议的审查形式和时间安排为：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，审查会议的相关费用由</w:t>
      </w:r>
      <w:r>
        <w:rPr>
          <w:rFonts w:hint="eastAsia" w:ascii="宋体" w:hAnsi="宋体" w:eastAsia="宋体" w:cs="宋体"/>
          <w:spacing w:val="-1"/>
          <w:sz w:val="24"/>
          <w:szCs w:val="24"/>
          <w:u w:val="single"/>
          <w:lang w:eastAsia="zh-CN"/>
        </w:rPr>
        <w:t>承包人</w:t>
      </w:r>
      <w:r>
        <w:rPr>
          <w:rFonts w:hint="eastAsia" w:ascii="宋体" w:hAnsi="宋体" w:eastAsia="宋体" w:cs="宋体"/>
          <w:spacing w:val="-8"/>
          <w:sz w:val="24"/>
          <w:szCs w:val="24"/>
          <w:lang w:eastAsia="zh-CN"/>
        </w:rPr>
        <w:t>承担。</w:t>
      </w:r>
    </w:p>
    <w:p w14:paraId="79BC8F2B">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5.2.3关于第三方审查单位的约定：</w:t>
      </w:r>
      <w:r>
        <w:rPr>
          <w:rFonts w:hint="eastAsia" w:ascii="宋体" w:hAnsi="宋体" w:eastAsia="宋体" w:cs="宋体"/>
          <w:spacing w:val="-1"/>
          <w:sz w:val="24"/>
          <w:szCs w:val="24"/>
          <w:u w:val="single"/>
          <w:lang w:eastAsia="zh-CN"/>
        </w:rPr>
        <w:t>/。</w:t>
      </w:r>
    </w:p>
    <w:p w14:paraId="51CD663F">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5.3培训</w:t>
      </w:r>
    </w:p>
    <w:p w14:paraId="4FD86204">
      <w:pPr>
        <w:spacing w:line="360" w:lineRule="auto"/>
        <w:ind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培训的时长为</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lang w:eastAsia="zh-CN"/>
        </w:rPr>
        <w:t>，承包人应为培训提供的人员、设施</w:t>
      </w:r>
      <w:r>
        <w:rPr>
          <w:rFonts w:hint="eastAsia" w:ascii="宋体" w:hAnsi="宋体" w:eastAsia="宋体" w:cs="宋体"/>
          <w:spacing w:val="-5"/>
          <w:sz w:val="24"/>
          <w:szCs w:val="24"/>
          <w:lang w:eastAsia="zh-CN"/>
        </w:rPr>
        <w:t>和其他必要条件为</w:t>
      </w:r>
      <w:r>
        <w:rPr>
          <w:rFonts w:hint="eastAsia" w:ascii="宋体" w:hAnsi="宋体" w:eastAsia="宋体" w:cs="宋体"/>
          <w:spacing w:val="-5"/>
          <w:sz w:val="24"/>
          <w:szCs w:val="24"/>
          <w:u w:val="single"/>
          <w:lang w:eastAsia="zh-CN"/>
        </w:rPr>
        <w:t>/。</w:t>
      </w:r>
    </w:p>
    <w:p w14:paraId="3B351935">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5.4竣工文件</w:t>
      </w:r>
    </w:p>
    <w:p w14:paraId="7F14D35A">
      <w:pPr>
        <w:spacing w:line="360" w:lineRule="auto"/>
        <w:ind w:left="393"/>
        <w:rPr>
          <w:rFonts w:hint="eastAsia" w:ascii="宋体" w:hAnsi="宋体" w:eastAsia="宋体" w:cs="宋体"/>
          <w:sz w:val="24"/>
          <w:szCs w:val="24"/>
          <w:lang w:eastAsia="zh-CN"/>
        </w:rPr>
      </w:pPr>
      <w:r>
        <w:rPr>
          <w:rFonts w:hint="eastAsia" w:ascii="宋体" w:hAnsi="宋体" w:eastAsia="宋体" w:cs="宋体"/>
          <w:sz w:val="24"/>
          <w:szCs w:val="24"/>
          <w:lang w:eastAsia="zh-CN"/>
        </w:rPr>
        <w:t>5.4.1竣工文件的形式、提供的份数、技术标准以及其</w:t>
      </w:r>
      <w:r>
        <w:rPr>
          <w:rFonts w:hint="eastAsia" w:ascii="宋体" w:hAnsi="宋体" w:eastAsia="宋体" w:cs="宋体"/>
          <w:spacing w:val="-1"/>
          <w:sz w:val="24"/>
          <w:szCs w:val="24"/>
          <w:lang w:eastAsia="zh-CN"/>
        </w:rPr>
        <w:t>它相关要求：</w:t>
      </w:r>
      <w:r>
        <w:rPr>
          <w:rFonts w:hint="eastAsia" w:ascii="宋体" w:hAnsi="宋体" w:eastAsia="宋体" w:cs="宋体"/>
          <w:spacing w:val="-1"/>
          <w:sz w:val="24"/>
          <w:szCs w:val="24"/>
          <w:u w:val="single"/>
          <w:lang w:eastAsia="zh-CN"/>
        </w:rPr>
        <w:t>/。</w:t>
      </w:r>
    </w:p>
    <w:p w14:paraId="5CFD2060">
      <w:pPr>
        <w:spacing w:line="360" w:lineRule="auto"/>
        <w:ind w:left="10" w:right="55" w:firstLine="383"/>
        <w:rPr>
          <w:rFonts w:hint="eastAsia" w:ascii="宋体" w:hAnsi="宋体" w:eastAsia="宋体" w:cs="宋体"/>
          <w:sz w:val="24"/>
          <w:szCs w:val="24"/>
          <w:lang w:eastAsia="zh-CN"/>
        </w:rPr>
      </w:pPr>
      <w:r>
        <w:rPr>
          <w:rFonts w:hint="eastAsia" w:ascii="宋体" w:hAnsi="宋体" w:eastAsia="宋体" w:cs="宋体"/>
          <w:sz w:val="24"/>
          <w:szCs w:val="24"/>
          <w:lang w:eastAsia="zh-CN"/>
        </w:rPr>
        <w:t>5.4.3关于竣工文件的其他约定：</w:t>
      </w:r>
      <w:r>
        <w:rPr>
          <w:rFonts w:hint="eastAsia" w:ascii="宋体" w:hAnsi="宋体" w:eastAsia="宋体" w:cs="宋体"/>
          <w:sz w:val="24"/>
          <w:szCs w:val="24"/>
          <w:u w:val="single"/>
          <w:lang w:eastAsia="zh-CN"/>
        </w:rPr>
        <w:t>工程总承包单位负责包括但不限于以下内</w:t>
      </w:r>
      <w:r>
        <w:rPr>
          <w:rFonts w:hint="eastAsia" w:ascii="宋体" w:hAnsi="宋体" w:eastAsia="宋体" w:cs="宋体"/>
          <w:spacing w:val="-1"/>
          <w:sz w:val="24"/>
          <w:szCs w:val="24"/>
          <w:u w:val="single"/>
          <w:lang w:eastAsia="zh-CN"/>
        </w:rPr>
        <w:t>容：所有竣工资料收集、整理、装订、上传档案馆等所有工作内容。</w:t>
      </w:r>
    </w:p>
    <w:p w14:paraId="75CFE64D">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5.5操作和维修手册</w:t>
      </w:r>
    </w:p>
    <w:p w14:paraId="43C31999">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5.5.3对最终操作和维修手册的约定：</w:t>
      </w:r>
      <w:r>
        <w:rPr>
          <w:rFonts w:hint="eastAsia" w:ascii="宋体" w:hAnsi="宋体" w:eastAsia="宋体" w:cs="宋体"/>
          <w:spacing w:val="-1"/>
          <w:sz w:val="24"/>
          <w:szCs w:val="24"/>
          <w:u w:val="single"/>
          <w:lang w:eastAsia="zh-CN"/>
        </w:rPr>
        <w:t>/。</w:t>
      </w:r>
    </w:p>
    <w:p w14:paraId="2EB9E5B7">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第6条材料、工程设备</w:t>
      </w:r>
    </w:p>
    <w:p w14:paraId="2CAE5CDF">
      <w:pPr>
        <w:spacing w:line="360" w:lineRule="auto"/>
        <w:ind w:left="391"/>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6.1实施方法</w:t>
      </w:r>
    </w:p>
    <w:p w14:paraId="382DA41D">
      <w:pPr>
        <w:spacing w:line="360" w:lineRule="auto"/>
        <w:ind w:left="9" w:right="55" w:firstLine="379"/>
        <w:rPr>
          <w:rFonts w:hint="eastAsia" w:ascii="宋体" w:hAnsi="宋体" w:eastAsia="宋体" w:cs="宋体"/>
          <w:sz w:val="24"/>
          <w:szCs w:val="24"/>
          <w:lang w:eastAsia="zh-CN"/>
        </w:rPr>
      </w:pPr>
      <w:r>
        <w:rPr>
          <w:rFonts w:hint="eastAsia" w:ascii="宋体" w:hAnsi="宋体" w:eastAsia="宋体" w:cs="宋体"/>
          <w:sz w:val="24"/>
          <w:szCs w:val="24"/>
          <w:lang w:eastAsia="zh-CN"/>
        </w:rPr>
        <w:t>双方当事人约定的实施方法、设备、设施和材料：</w:t>
      </w:r>
      <w:r>
        <w:rPr>
          <w:rFonts w:hint="eastAsia" w:ascii="宋体" w:hAnsi="宋体" w:eastAsia="宋体" w:cs="宋体"/>
          <w:sz w:val="24"/>
          <w:szCs w:val="24"/>
          <w:u w:val="single"/>
          <w:lang w:eastAsia="zh-CN"/>
        </w:rPr>
        <w:t>设备、材</w:t>
      </w:r>
      <w:r>
        <w:rPr>
          <w:rFonts w:hint="eastAsia" w:ascii="宋体" w:hAnsi="宋体" w:eastAsia="宋体" w:cs="宋体"/>
          <w:spacing w:val="-1"/>
          <w:sz w:val="24"/>
          <w:szCs w:val="24"/>
          <w:u w:val="single"/>
          <w:lang w:eastAsia="zh-CN"/>
        </w:rPr>
        <w:t>料采购需经发包人认可。未</w:t>
      </w:r>
      <w:r>
        <w:rPr>
          <w:rFonts w:hint="eastAsia" w:ascii="宋体" w:hAnsi="宋体" w:eastAsia="宋体" w:cs="宋体"/>
          <w:spacing w:val="-4"/>
          <w:sz w:val="24"/>
          <w:szCs w:val="24"/>
          <w:u w:val="single"/>
          <w:lang w:eastAsia="zh-CN"/>
        </w:rPr>
        <w:t>经发包人同意，承包人擅自采购的，每发现一次，扣除5万元工程款，发包人有权解除合同。</w:t>
      </w:r>
    </w:p>
    <w:p w14:paraId="49FDC2DA">
      <w:pPr>
        <w:spacing w:line="360" w:lineRule="auto"/>
        <w:ind w:left="3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6.2材料和工程设备</w:t>
      </w:r>
    </w:p>
    <w:p w14:paraId="272908A1">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6.2.1发包人提供的材料和工程设备</w:t>
      </w:r>
    </w:p>
    <w:p w14:paraId="6C3CBD63">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发包人提供的材料和工程设备验收后，由</w:t>
      </w:r>
      <w:r>
        <w:rPr>
          <w:rFonts w:hint="eastAsia" w:ascii="宋体" w:hAnsi="宋体" w:eastAsia="宋体" w:cs="宋体"/>
          <w:spacing w:val="-1"/>
          <w:sz w:val="24"/>
          <w:szCs w:val="24"/>
          <w:u w:val="single"/>
          <w:lang w:eastAsia="zh-CN"/>
        </w:rPr>
        <w:t>承包人</w:t>
      </w:r>
      <w:r>
        <w:rPr>
          <w:rFonts w:hint="eastAsia" w:ascii="宋体" w:hAnsi="宋体" w:eastAsia="宋体" w:cs="宋体"/>
          <w:spacing w:val="-1"/>
          <w:sz w:val="24"/>
          <w:szCs w:val="24"/>
          <w:lang w:eastAsia="zh-CN"/>
        </w:rPr>
        <w:t>负责接收、运输和保管。</w:t>
      </w:r>
    </w:p>
    <w:p w14:paraId="713A61F1">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6.2.2承包人提供的材料和工程设备</w:t>
      </w:r>
    </w:p>
    <w:p w14:paraId="67CC58CE">
      <w:pPr>
        <w:spacing w:line="360" w:lineRule="auto"/>
        <w:ind w:left="389"/>
        <w:rPr>
          <w:rFonts w:hint="eastAsia" w:ascii="宋体" w:hAnsi="宋体" w:eastAsia="宋体" w:cs="宋体"/>
          <w:sz w:val="24"/>
          <w:szCs w:val="24"/>
          <w:lang w:eastAsia="zh-CN"/>
        </w:rPr>
      </w:pPr>
      <w:r>
        <w:rPr>
          <w:rFonts w:hint="eastAsia" w:ascii="宋体" w:hAnsi="宋体" w:eastAsia="宋体" w:cs="宋体"/>
          <w:sz w:val="24"/>
          <w:szCs w:val="24"/>
          <w:lang w:eastAsia="zh-CN"/>
        </w:rPr>
        <w:t>材料和工程设备的类别、估算数量：</w:t>
      </w:r>
      <w:r>
        <w:rPr>
          <w:rFonts w:hint="eastAsia" w:ascii="宋体" w:hAnsi="宋体" w:eastAsia="宋体" w:cs="宋体"/>
          <w:spacing w:val="-1"/>
          <w:sz w:val="24"/>
          <w:szCs w:val="24"/>
          <w:u w:val="single"/>
          <w:lang w:eastAsia="zh-CN"/>
        </w:rPr>
        <w:t>/。</w:t>
      </w:r>
    </w:p>
    <w:p w14:paraId="2577B339">
      <w:pPr>
        <w:spacing w:line="360" w:lineRule="auto"/>
        <w:ind w:left="390"/>
        <w:rPr>
          <w:rFonts w:hint="eastAsia" w:ascii="宋体" w:hAnsi="宋体" w:eastAsia="宋体" w:cs="宋体"/>
          <w:sz w:val="24"/>
          <w:szCs w:val="24"/>
          <w:lang w:eastAsia="zh-CN"/>
        </w:rPr>
      </w:pPr>
      <w:r>
        <w:rPr>
          <w:rFonts w:hint="eastAsia" w:ascii="宋体" w:hAnsi="宋体" w:eastAsia="宋体" w:cs="宋体"/>
          <w:sz w:val="24"/>
          <w:szCs w:val="24"/>
          <w:lang w:eastAsia="zh-CN"/>
        </w:rPr>
        <w:t>竣工后试验的生产性材料的类别或（和）清单：</w:t>
      </w:r>
      <w:r>
        <w:rPr>
          <w:rFonts w:hint="eastAsia" w:ascii="宋体" w:hAnsi="宋体" w:eastAsia="宋体" w:cs="宋体"/>
          <w:spacing w:val="-1"/>
          <w:sz w:val="24"/>
          <w:szCs w:val="24"/>
          <w:u w:val="single"/>
          <w:lang w:eastAsia="zh-CN"/>
        </w:rPr>
        <w:t>/。</w:t>
      </w:r>
    </w:p>
    <w:p w14:paraId="7C236A1E">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6.2.3材料和工程设备的保管</w:t>
      </w:r>
    </w:p>
    <w:p w14:paraId="75AB0DFC">
      <w:pPr>
        <w:spacing w:line="360" w:lineRule="auto"/>
        <w:ind w:left="393"/>
        <w:rPr>
          <w:rFonts w:hint="eastAsia" w:ascii="宋体" w:hAnsi="宋体" w:eastAsia="宋体" w:cs="宋体"/>
          <w:sz w:val="24"/>
          <w:szCs w:val="24"/>
          <w:lang w:eastAsia="zh-CN"/>
        </w:rPr>
      </w:pPr>
      <w:r>
        <w:rPr>
          <w:rFonts w:hint="eastAsia" w:ascii="宋体" w:hAnsi="宋体" w:eastAsia="宋体" w:cs="宋体"/>
          <w:sz w:val="24"/>
          <w:szCs w:val="24"/>
          <w:lang w:eastAsia="zh-CN"/>
        </w:rPr>
        <w:t>发包人供应的材料和工程设备的保管费用由</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承担。</w:t>
      </w:r>
    </w:p>
    <w:p w14:paraId="3E447DF3">
      <w:pPr>
        <w:spacing w:line="360" w:lineRule="auto"/>
        <w:ind w:left="389"/>
        <w:rPr>
          <w:rFonts w:hint="eastAsia" w:ascii="宋体" w:hAnsi="宋体" w:eastAsia="宋体" w:cs="宋体"/>
          <w:sz w:val="24"/>
          <w:szCs w:val="24"/>
          <w:lang w:eastAsia="zh-CN"/>
        </w:rPr>
      </w:pPr>
      <w:r>
        <w:rPr>
          <w:rFonts w:hint="eastAsia" w:ascii="宋体" w:hAnsi="宋体" w:eastAsia="宋体" w:cs="宋体"/>
          <w:sz w:val="24"/>
          <w:szCs w:val="24"/>
          <w:lang w:eastAsia="zh-CN"/>
        </w:rPr>
        <w:t>承包人提交保管、维护方案的时间：</w:t>
      </w:r>
      <w:r>
        <w:rPr>
          <w:rFonts w:hint="eastAsia" w:ascii="宋体" w:hAnsi="宋体" w:eastAsia="宋体" w:cs="宋体"/>
          <w:spacing w:val="-1"/>
          <w:sz w:val="24"/>
          <w:szCs w:val="24"/>
          <w:u w:val="single"/>
          <w:lang w:eastAsia="zh-CN"/>
        </w:rPr>
        <w:t>/。</w:t>
      </w:r>
    </w:p>
    <w:p w14:paraId="64A0A16D">
      <w:pPr>
        <w:spacing w:line="360" w:lineRule="auto"/>
        <w:ind w:left="393"/>
        <w:rPr>
          <w:rFonts w:hint="eastAsia" w:ascii="宋体" w:hAnsi="宋体" w:eastAsia="宋体" w:cs="宋体"/>
          <w:sz w:val="24"/>
          <w:szCs w:val="24"/>
          <w:lang w:eastAsia="zh-CN"/>
        </w:rPr>
      </w:pPr>
      <w:r>
        <w:rPr>
          <w:rFonts w:hint="eastAsia" w:ascii="宋体" w:hAnsi="宋体" w:eastAsia="宋体" w:cs="宋体"/>
          <w:sz w:val="24"/>
          <w:szCs w:val="24"/>
          <w:lang w:eastAsia="zh-CN"/>
        </w:rPr>
        <w:t>发包人提供的库房、堆场、设施和设备：</w:t>
      </w:r>
      <w:r>
        <w:rPr>
          <w:rFonts w:hint="eastAsia" w:ascii="宋体" w:hAnsi="宋体" w:eastAsia="宋体" w:cs="宋体"/>
          <w:sz w:val="24"/>
          <w:szCs w:val="24"/>
          <w:u w:val="single"/>
          <w:lang w:eastAsia="zh-CN"/>
        </w:rPr>
        <w:t>。</w:t>
      </w:r>
    </w:p>
    <w:p w14:paraId="015DBDC0">
      <w:pPr>
        <w:spacing w:line="360" w:lineRule="auto"/>
        <w:ind w:left="391"/>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6.3样品</w:t>
      </w:r>
    </w:p>
    <w:p w14:paraId="0445187D">
      <w:pPr>
        <w:spacing w:line="360" w:lineRule="auto"/>
        <w:ind w:left="3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6.3.1样品的报送与封存</w:t>
      </w:r>
    </w:p>
    <w:p w14:paraId="69C92D8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需要承包人报送样品的材料或工程设备，样品种类、</w:t>
      </w:r>
      <w:r>
        <w:rPr>
          <w:rFonts w:hint="eastAsia" w:ascii="宋体" w:hAnsi="宋体" w:eastAsia="宋体" w:cs="宋体"/>
          <w:spacing w:val="-1"/>
          <w:sz w:val="24"/>
          <w:szCs w:val="24"/>
          <w:lang w:eastAsia="zh-CN"/>
        </w:rPr>
        <w:t>名称、规格、数量：</w:t>
      </w:r>
      <w:r>
        <w:rPr>
          <w:rFonts w:hint="eastAsia" w:ascii="宋体" w:hAnsi="宋体" w:eastAsia="宋体" w:cs="宋体"/>
          <w:spacing w:val="-1"/>
          <w:sz w:val="24"/>
          <w:szCs w:val="24"/>
          <w:u w:val="single"/>
          <w:lang w:eastAsia="zh-CN"/>
        </w:rPr>
        <w:t>/。</w:t>
      </w:r>
    </w:p>
    <w:p w14:paraId="65E5841F">
      <w:pPr>
        <w:spacing w:line="360" w:lineRule="auto"/>
        <w:ind w:left="391"/>
        <w:outlineLvl w:val="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6.4质量检查</w:t>
      </w:r>
    </w:p>
    <w:p w14:paraId="310A8A8E">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6.4.1工程质量要求</w:t>
      </w:r>
    </w:p>
    <w:p w14:paraId="7C7235A3">
      <w:pPr>
        <w:spacing w:line="360" w:lineRule="auto"/>
        <w:ind w:left="39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工程质量的特殊标准或要求：</w:t>
      </w:r>
      <w:r>
        <w:rPr>
          <w:rFonts w:hint="eastAsia" w:ascii="宋体" w:hAnsi="宋体" w:eastAsia="宋体" w:cs="宋体"/>
          <w:spacing w:val="-1"/>
          <w:sz w:val="24"/>
          <w:szCs w:val="24"/>
          <w:u w:val="single"/>
          <w:lang w:eastAsia="zh-CN"/>
        </w:rPr>
        <w:t>/。</w:t>
      </w:r>
    </w:p>
    <w:p w14:paraId="44809611">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6.4.2质量检查</w:t>
      </w:r>
    </w:p>
    <w:p w14:paraId="1409DABA">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除通用合同条件已列明的质量检查的地点外，发包人有权进行质量检查的其他地点：</w:t>
      </w:r>
      <w:r>
        <w:rPr>
          <w:rFonts w:hint="eastAsia" w:ascii="宋体" w:hAnsi="宋体" w:eastAsia="宋体" w:cs="宋体"/>
          <w:spacing w:val="-3"/>
          <w:sz w:val="24"/>
          <w:szCs w:val="24"/>
          <w:u w:val="single"/>
          <w:lang w:eastAsia="zh-CN"/>
        </w:rPr>
        <w:t>/。</w:t>
      </w:r>
    </w:p>
    <w:p w14:paraId="5918CF29">
      <w:pPr>
        <w:spacing w:line="360" w:lineRule="auto"/>
        <w:ind w:left="391"/>
        <w:outlineLvl w:val="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6.4.3隐蔽工程检查</w:t>
      </w:r>
    </w:p>
    <w:p w14:paraId="27D03D93">
      <w:pPr>
        <w:spacing w:line="360" w:lineRule="auto"/>
        <w:ind w:left="9" w:firstLine="38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关于隐蔽工程和中间验收的特别约定：</w:t>
      </w:r>
      <w:r>
        <w:rPr>
          <w:rFonts w:hint="eastAsia" w:ascii="宋体" w:hAnsi="宋体" w:eastAsia="宋体" w:cs="宋体"/>
          <w:spacing w:val="-3"/>
          <w:sz w:val="24"/>
          <w:szCs w:val="24"/>
          <w:u w:val="single"/>
          <w:lang w:eastAsia="zh-CN"/>
        </w:rPr>
        <w:t>发包人、承包人、监理机构和造价咨询机构共同参与。</w:t>
      </w:r>
    </w:p>
    <w:p w14:paraId="7AD6F688">
      <w:pPr>
        <w:spacing w:line="360" w:lineRule="auto"/>
        <w:ind w:left="391"/>
        <w:outlineLvl w:val="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6.5由承包人试验和检验</w:t>
      </w:r>
    </w:p>
    <w:p w14:paraId="23BCC036">
      <w:pPr>
        <w:spacing w:line="360" w:lineRule="auto"/>
        <w:ind w:left="3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6.5.1试验设备与试验人员</w:t>
      </w:r>
    </w:p>
    <w:p w14:paraId="1B269463">
      <w:pPr>
        <w:spacing w:line="360" w:lineRule="auto"/>
        <w:ind w:left="19" w:firstLine="47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试验的内容、时间和地点：</w:t>
      </w:r>
      <w:r>
        <w:rPr>
          <w:rFonts w:hint="eastAsia" w:ascii="宋体" w:hAnsi="宋体" w:eastAsia="宋体" w:cs="宋体"/>
          <w:spacing w:val="-3"/>
          <w:sz w:val="24"/>
          <w:szCs w:val="24"/>
          <w:u w:val="single"/>
          <w:lang w:eastAsia="zh-CN"/>
        </w:rPr>
        <w:t>根据实际情况，满足国家规范、行业要求、地方标准、施工</w:t>
      </w:r>
      <w:r>
        <w:rPr>
          <w:rFonts w:hint="eastAsia" w:ascii="宋体" w:hAnsi="宋体" w:eastAsia="宋体" w:cs="宋体"/>
          <w:spacing w:val="-1"/>
          <w:sz w:val="24"/>
          <w:szCs w:val="24"/>
          <w:u w:val="single"/>
          <w:lang w:eastAsia="zh-CN"/>
        </w:rPr>
        <w:t>需要，相关费用包含在合同价款中。</w:t>
      </w:r>
    </w:p>
    <w:p w14:paraId="3217595B">
      <w:pPr>
        <w:spacing w:line="360" w:lineRule="auto"/>
        <w:ind w:left="13" w:right="4" w:firstLine="376"/>
        <w:rPr>
          <w:rFonts w:hint="eastAsia" w:ascii="宋体" w:hAnsi="宋体" w:eastAsia="宋体" w:cs="宋体"/>
          <w:sz w:val="24"/>
          <w:szCs w:val="24"/>
          <w:lang w:eastAsia="zh-CN"/>
        </w:rPr>
      </w:pPr>
      <w:r>
        <w:rPr>
          <w:rFonts w:hint="eastAsia" w:ascii="宋体" w:hAnsi="宋体" w:eastAsia="宋体" w:cs="宋体"/>
          <w:sz w:val="24"/>
          <w:szCs w:val="24"/>
          <w:lang w:eastAsia="zh-CN"/>
        </w:rPr>
        <w:t>试验所需要的试验设备、取样装置、试验场所和试验条件：</w:t>
      </w:r>
      <w:r>
        <w:rPr>
          <w:rFonts w:hint="eastAsia" w:ascii="宋体" w:hAnsi="宋体" w:eastAsia="宋体" w:cs="宋体"/>
          <w:sz w:val="24"/>
          <w:szCs w:val="24"/>
          <w:u w:val="single"/>
          <w:lang w:eastAsia="zh-CN"/>
        </w:rPr>
        <w:t>根据实际情况，满足国家规范、行业要求、地方标准、施工需要，相关费用包</w:t>
      </w:r>
      <w:r>
        <w:rPr>
          <w:rFonts w:hint="eastAsia" w:ascii="宋体" w:hAnsi="宋体" w:eastAsia="宋体" w:cs="宋体"/>
          <w:spacing w:val="-1"/>
          <w:sz w:val="24"/>
          <w:szCs w:val="24"/>
          <w:u w:val="single"/>
          <w:lang w:eastAsia="zh-CN"/>
        </w:rPr>
        <w:t>含在合同价款中。</w:t>
      </w:r>
    </w:p>
    <w:p w14:paraId="44CBC529">
      <w:pPr>
        <w:spacing w:line="360" w:lineRule="auto"/>
        <w:ind w:left="10" w:right="14" w:firstLine="378"/>
        <w:rPr>
          <w:rFonts w:hint="eastAsia" w:ascii="宋体" w:hAnsi="宋体" w:eastAsia="宋体" w:cs="宋体"/>
          <w:sz w:val="24"/>
          <w:szCs w:val="24"/>
          <w:lang w:eastAsia="zh-CN"/>
        </w:rPr>
      </w:pPr>
      <w:r>
        <w:rPr>
          <w:rFonts w:hint="eastAsia" w:ascii="宋体" w:hAnsi="宋体" w:eastAsia="宋体" w:cs="宋体"/>
          <w:sz w:val="24"/>
          <w:szCs w:val="24"/>
          <w:lang w:eastAsia="zh-CN"/>
        </w:rPr>
        <w:t>试验和检验费用的计价原则：</w:t>
      </w:r>
      <w:r>
        <w:rPr>
          <w:rFonts w:hint="eastAsia" w:ascii="宋体" w:hAnsi="宋体" w:eastAsia="宋体" w:cs="宋体"/>
          <w:sz w:val="24"/>
          <w:szCs w:val="24"/>
          <w:u w:val="single"/>
          <w:lang w:eastAsia="zh-CN"/>
        </w:rPr>
        <w:t>根据实际情况，满足国家规范、</w:t>
      </w:r>
      <w:r>
        <w:rPr>
          <w:rFonts w:hint="eastAsia" w:ascii="宋体" w:hAnsi="宋体" w:eastAsia="宋体" w:cs="宋体"/>
          <w:spacing w:val="-1"/>
          <w:sz w:val="24"/>
          <w:szCs w:val="24"/>
          <w:u w:val="single"/>
          <w:lang w:eastAsia="zh-CN"/>
        </w:rPr>
        <w:t>行业要求、地方标准、施工需要，相关费用包含在合同价款中。</w:t>
      </w:r>
    </w:p>
    <w:p w14:paraId="58578C36">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第7条施工</w:t>
      </w:r>
    </w:p>
    <w:p w14:paraId="31AAD70C">
      <w:pPr>
        <w:spacing w:line="360" w:lineRule="auto"/>
        <w:ind w:left="39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7.1交通运输</w:t>
      </w:r>
    </w:p>
    <w:p w14:paraId="0208C2A0">
      <w:pPr>
        <w:spacing w:line="360" w:lineRule="auto"/>
        <w:ind w:left="39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7.1.1出入现场的权利</w:t>
      </w:r>
    </w:p>
    <w:p w14:paraId="251F30BE">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关于出入现场的权利的约定：</w:t>
      </w:r>
      <w:r>
        <w:rPr>
          <w:rFonts w:hint="eastAsia" w:ascii="宋体" w:hAnsi="宋体" w:eastAsia="宋体" w:cs="宋体"/>
          <w:spacing w:val="-1"/>
          <w:sz w:val="24"/>
          <w:szCs w:val="24"/>
          <w:u w:val="single"/>
          <w:lang w:eastAsia="zh-CN"/>
        </w:rPr>
        <w:t>执行通用条款。</w:t>
      </w:r>
    </w:p>
    <w:p w14:paraId="389DC0D8">
      <w:pPr>
        <w:spacing w:line="360" w:lineRule="auto"/>
        <w:ind w:left="39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7.1.2场外交通</w:t>
      </w:r>
    </w:p>
    <w:p w14:paraId="16FBE474">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关于场外交通的特别约定：</w:t>
      </w:r>
      <w:r>
        <w:rPr>
          <w:rFonts w:hint="eastAsia" w:ascii="宋体" w:hAnsi="宋体" w:eastAsia="宋体" w:cs="宋体"/>
          <w:spacing w:val="-1"/>
          <w:sz w:val="24"/>
          <w:szCs w:val="24"/>
          <w:u w:val="single"/>
          <w:lang w:eastAsia="zh-CN"/>
        </w:rPr>
        <w:t>执行通用条款。</w:t>
      </w:r>
    </w:p>
    <w:p w14:paraId="587802A4">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7.1.3场内交通</w:t>
      </w:r>
    </w:p>
    <w:p w14:paraId="0F0A38E1">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关于场内交通的特别约定：</w:t>
      </w:r>
      <w:r>
        <w:rPr>
          <w:rFonts w:hint="eastAsia" w:ascii="宋体" w:hAnsi="宋体" w:eastAsia="宋体" w:cs="宋体"/>
          <w:spacing w:val="-1"/>
          <w:sz w:val="24"/>
          <w:szCs w:val="24"/>
          <w:u w:val="single"/>
          <w:lang w:eastAsia="zh-CN"/>
        </w:rPr>
        <w:t>执行通用条款。</w:t>
      </w:r>
    </w:p>
    <w:p w14:paraId="1634C76A">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关于场内交通与场外交通边界的约定：</w:t>
      </w:r>
      <w:r>
        <w:rPr>
          <w:rFonts w:hint="eastAsia" w:ascii="宋体" w:hAnsi="宋体" w:eastAsia="宋体" w:cs="宋体"/>
          <w:spacing w:val="-1"/>
          <w:sz w:val="24"/>
          <w:szCs w:val="24"/>
          <w:u w:val="single"/>
          <w:lang w:eastAsia="zh-CN"/>
        </w:rPr>
        <w:t>执行通用条款。</w:t>
      </w:r>
    </w:p>
    <w:p w14:paraId="01D2DF6A">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7.1.4超大件和超重件的运输</w:t>
      </w:r>
    </w:p>
    <w:p w14:paraId="11D197F0">
      <w:pPr>
        <w:spacing w:line="360" w:lineRule="auto"/>
        <w:ind w:left="1" w:right="6" w:firstLine="380"/>
        <w:rPr>
          <w:rFonts w:hint="eastAsia" w:ascii="宋体" w:hAnsi="宋体" w:eastAsia="宋体" w:cs="宋体"/>
          <w:sz w:val="24"/>
          <w:szCs w:val="24"/>
          <w:lang w:eastAsia="zh-CN"/>
        </w:rPr>
      </w:pPr>
      <w:r>
        <w:rPr>
          <w:rFonts w:hint="eastAsia" w:ascii="宋体" w:hAnsi="宋体" w:eastAsia="宋体" w:cs="宋体"/>
          <w:sz w:val="24"/>
          <w:szCs w:val="24"/>
          <w:lang w:eastAsia="zh-CN"/>
        </w:rPr>
        <w:t>运输超大件或超重件所需的道路和桥梁临时加固改造费用和其他有关费用由</w:t>
      </w:r>
      <w:r>
        <w:rPr>
          <w:rFonts w:hint="eastAsia" w:ascii="宋体" w:hAnsi="宋体" w:eastAsia="宋体" w:cs="宋体"/>
          <w:sz w:val="24"/>
          <w:szCs w:val="24"/>
          <w:u w:val="single"/>
          <w:lang w:eastAsia="zh-CN"/>
        </w:rPr>
        <w:t>承包</w:t>
      </w:r>
      <w:r>
        <w:rPr>
          <w:rFonts w:hint="eastAsia" w:ascii="宋体" w:hAnsi="宋体" w:eastAsia="宋体" w:cs="宋体"/>
          <w:spacing w:val="-1"/>
          <w:sz w:val="24"/>
          <w:szCs w:val="24"/>
          <w:u w:val="single"/>
          <w:lang w:eastAsia="zh-CN"/>
        </w:rPr>
        <w:t>人</w:t>
      </w:r>
      <w:r>
        <w:rPr>
          <w:rFonts w:hint="eastAsia" w:ascii="宋体" w:hAnsi="宋体" w:eastAsia="宋体" w:cs="宋体"/>
          <w:spacing w:val="-1"/>
          <w:sz w:val="24"/>
          <w:szCs w:val="24"/>
          <w:lang w:eastAsia="zh-CN"/>
        </w:rPr>
        <w:t>承</w:t>
      </w:r>
      <w:r>
        <w:rPr>
          <w:rFonts w:hint="eastAsia" w:ascii="宋体" w:hAnsi="宋体" w:eastAsia="宋体" w:cs="宋体"/>
          <w:spacing w:val="-10"/>
          <w:sz w:val="24"/>
          <w:szCs w:val="24"/>
          <w:lang w:eastAsia="zh-CN"/>
        </w:rPr>
        <w:t>担。</w:t>
      </w:r>
    </w:p>
    <w:p w14:paraId="30BE8F08">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7.2施工设备和临时设施</w:t>
      </w:r>
    </w:p>
    <w:p w14:paraId="19820345">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7.2.1承包人提供的施工设备和临时设施</w:t>
      </w:r>
    </w:p>
    <w:p w14:paraId="2BC42DFB">
      <w:pPr>
        <w:spacing w:line="360" w:lineRule="auto"/>
        <w:ind w:left="393"/>
        <w:rPr>
          <w:rFonts w:hint="eastAsia" w:ascii="宋体" w:hAnsi="宋体" w:eastAsia="宋体" w:cs="宋体"/>
          <w:sz w:val="24"/>
          <w:szCs w:val="24"/>
          <w:lang w:eastAsia="zh-CN"/>
        </w:rPr>
      </w:pPr>
      <w:r>
        <w:rPr>
          <w:rFonts w:hint="eastAsia" w:ascii="宋体" w:hAnsi="宋体" w:eastAsia="宋体" w:cs="宋体"/>
          <w:sz w:val="24"/>
          <w:szCs w:val="24"/>
          <w:lang w:eastAsia="zh-CN"/>
        </w:rPr>
        <w:t>临时设施的费用和临时占地手续和费用承担</w:t>
      </w:r>
      <w:r>
        <w:rPr>
          <w:rFonts w:hint="eastAsia" w:ascii="宋体" w:hAnsi="宋体" w:eastAsia="宋体" w:cs="宋体"/>
          <w:spacing w:val="-1"/>
          <w:sz w:val="24"/>
          <w:szCs w:val="24"/>
          <w:lang w:eastAsia="zh-CN"/>
        </w:rPr>
        <w:t>的特别约定：</w:t>
      </w:r>
      <w:r>
        <w:rPr>
          <w:rFonts w:hint="eastAsia" w:ascii="宋体" w:hAnsi="宋体" w:eastAsia="宋体" w:cs="宋体"/>
          <w:spacing w:val="-1"/>
          <w:sz w:val="24"/>
          <w:szCs w:val="24"/>
          <w:u w:val="single"/>
          <w:lang w:eastAsia="zh-CN"/>
        </w:rPr>
        <w:t>按通用条款执行。</w:t>
      </w:r>
    </w:p>
    <w:p w14:paraId="2024CDB4">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7.2.2发包人提供的施工设备和临时设施</w:t>
      </w:r>
    </w:p>
    <w:p w14:paraId="3EF42BDC">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发包人提供的施工设备或临时设施范围：</w:t>
      </w:r>
      <w:r>
        <w:rPr>
          <w:rFonts w:hint="eastAsia" w:ascii="宋体" w:hAnsi="宋体" w:eastAsia="宋体" w:cs="宋体"/>
          <w:spacing w:val="1"/>
          <w:sz w:val="24"/>
          <w:szCs w:val="24"/>
          <w:u w:val="single"/>
          <w:lang w:eastAsia="zh-CN"/>
        </w:rPr>
        <w:t>/。</w:t>
      </w:r>
    </w:p>
    <w:p w14:paraId="38437CFA">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7.3现场合作</w:t>
      </w:r>
    </w:p>
    <w:p w14:paraId="101E456F">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关于现场合作费用的特别约定：</w:t>
      </w:r>
      <w:r>
        <w:rPr>
          <w:rFonts w:hint="eastAsia" w:ascii="宋体" w:hAnsi="宋体" w:eastAsia="宋体" w:cs="宋体"/>
          <w:spacing w:val="1"/>
          <w:sz w:val="24"/>
          <w:szCs w:val="24"/>
          <w:u w:val="single"/>
          <w:lang w:eastAsia="zh-CN"/>
        </w:rPr>
        <w:t>/。</w:t>
      </w:r>
    </w:p>
    <w:p w14:paraId="745A7928">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7.4测量放线</w:t>
      </w:r>
    </w:p>
    <w:p w14:paraId="4DE6D876">
      <w:pPr>
        <w:spacing w:line="360" w:lineRule="auto"/>
        <w:ind w:left="1" w:right="9" w:firstLine="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7.4.1关于测量放线的特别约定的技术规范：</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施工控制网资料的告知期限：</w:t>
      </w:r>
      <w:r>
        <w:rPr>
          <w:rFonts w:hint="eastAsia" w:ascii="宋体" w:hAnsi="宋体" w:eastAsia="宋体" w:cs="宋体"/>
          <w:spacing w:val="-1"/>
          <w:sz w:val="24"/>
          <w:szCs w:val="24"/>
          <w:u w:val="single"/>
          <w:lang w:eastAsia="zh-CN"/>
        </w:rPr>
        <w:t>按监理人要求提供。</w:t>
      </w:r>
    </w:p>
    <w:p w14:paraId="2C0AF41F">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7.5现场劳动用工</w:t>
      </w:r>
    </w:p>
    <w:p w14:paraId="3B440727">
      <w:pPr>
        <w:spacing w:line="360" w:lineRule="auto"/>
        <w:ind w:left="3" w:firstLine="38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7.5.2合同当事人对建筑工人工资清偿事宜和违约责任的约定：</w:t>
      </w:r>
      <w:r>
        <w:rPr>
          <w:rFonts w:hint="eastAsia" w:ascii="宋体" w:hAnsi="宋体" w:eastAsia="宋体" w:cs="宋体"/>
          <w:sz w:val="24"/>
          <w:szCs w:val="24"/>
          <w:u w:val="single"/>
          <w:lang w:eastAsia="zh-CN"/>
        </w:rPr>
        <w:t>承包人应</w:t>
      </w:r>
      <w:r>
        <w:rPr>
          <w:rFonts w:hint="eastAsia" w:ascii="宋体" w:hAnsi="宋体" w:eastAsia="宋体" w:cs="宋体"/>
          <w:spacing w:val="-1"/>
          <w:sz w:val="24"/>
          <w:szCs w:val="24"/>
          <w:u w:val="single"/>
          <w:lang w:eastAsia="zh-CN"/>
        </w:rPr>
        <w:t>及时按照农民工实名制相关规定做好相关资料汇总上报工作，确保农民工工资按月足额发放，如发生农民</w:t>
      </w:r>
      <w:r>
        <w:rPr>
          <w:rFonts w:hint="eastAsia" w:ascii="宋体" w:hAnsi="宋体" w:eastAsia="宋体" w:cs="宋体"/>
          <w:spacing w:val="-3"/>
          <w:sz w:val="24"/>
          <w:szCs w:val="24"/>
          <w:u w:val="single"/>
          <w:lang w:eastAsia="zh-CN"/>
        </w:rPr>
        <w:t>工讨薪上访事件，视为承包人违约，按20万元/次课</w:t>
      </w:r>
      <w:r>
        <w:rPr>
          <w:rFonts w:hint="eastAsia" w:ascii="宋体" w:hAnsi="宋体" w:eastAsia="宋体" w:cs="宋体"/>
          <w:spacing w:val="-4"/>
          <w:sz w:val="24"/>
          <w:szCs w:val="24"/>
          <w:u w:val="single"/>
          <w:lang w:eastAsia="zh-CN"/>
        </w:rPr>
        <w:t>以违约金，发包人从工程款中直接扣除。</w:t>
      </w:r>
    </w:p>
    <w:p w14:paraId="3BD33E5B">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7.6安全文明施工</w:t>
      </w:r>
    </w:p>
    <w:p w14:paraId="320C0512">
      <w:pPr>
        <w:spacing w:line="360" w:lineRule="auto"/>
        <w:ind w:left="38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7.6.1.1安全目标</w:t>
      </w:r>
    </w:p>
    <w:p w14:paraId="122B5F7B">
      <w:pPr>
        <w:spacing w:line="360" w:lineRule="auto"/>
        <w:ind w:right="2"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（1）本项目不得发生安全事故。如有发生，除承包人应承担其自身、发包人和受损害</w:t>
      </w:r>
      <w:r>
        <w:rPr>
          <w:rFonts w:hint="eastAsia" w:ascii="宋体" w:hAnsi="宋体" w:eastAsia="宋体" w:cs="宋体"/>
          <w:spacing w:val="-1"/>
          <w:sz w:val="24"/>
          <w:szCs w:val="24"/>
          <w:lang w:eastAsia="zh-CN"/>
        </w:rPr>
        <w:t>第三方的所有损失（包括但不限于财产损失、人身损害赔偿、行政罚款、诉讼、仲裁及律师费用）外并按政府有关规定处理。</w:t>
      </w:r>
    </w:p>
    <w:p w14:paraId="24FAA04A">
      <w:pPr>
        <w:spacing w:line="360" w:lineRule="auto"/>
        <w:ind w:right="25"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（2）承包人由于管理不善，引起政府有关部门罚款</w:t>
      </w:r>
      <w:r>
        <w:rPr>
          <w:rFonts w:hint="eastAsia" w:ascii="宋体" w:hAnsi="宋体" w:eastAsia="宋体" w:cs="宋体"/>
          <w:spacing w:val="-3"/>
          <w:sz w:val="24"/>
          <w:szCs w:val="24"/>
          <w:lang w:eastAsia="zh-CN"/>
        </w:rPr>
        <w:t>、停工整改等处罚，其发生的费用</w:t>
      </w:r>
      <w:r>
        <w:rPr>
          <w:rFonts w:hint="eastAsia" w:ascii="宋体" w:hAnsi="宋体" w:eastAsia="宋体" w:cs="宋体"/>
          <w:spacing w:val="-2"/>
          <w:sz w:val="24"/>
          <w:szCs w:val="24"/>
          <w:lang w:eastAsia="zh-CN"/>
        </w:rPr>
        <w:t>及其他损失由承包人自行承担。</w:t>
      </w:r>
    </w:p>
    <w:p w14:paraId="3DE40FF9">
      <w:pPr>
        <w:spacing w:line="360" w:lineRule="auto"/>
        <w:ind w:left="3" w:right="12"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（3）工程施工期间，承包人必须做好对周边房屋、地下管线、道路路基的监护，</w:t>
      </w:r>
      <w:r>
        <w:rPr>
          <w:rFonts w:hint="eastAsia" w:ascii="宋体" w:hAnsi="宋体" w:eastAsia="宋体" w:cs="宋体"/>
          <w:spacing w:val="-3"/>
          <w:sz w:val="24"/>
          <w:szCs w:val="24"/>
          <w:lang w:eastAsia="zh-CN"/>
        </w:rPr>
        <w:t>因本</w:t>
      </w:r>
      <w:r>
        <w:rPr>
          <w:rFonts w:hint="eastAsia" w:ascii="宋体" w:hAnsi="宋体" w:eastAsia="宋体" w:cs="宋体"/>
          <w:spacing w:val="-1"/>
          <w:sz w:val="24"/>
          <w:szCs w:val="24"/>
          <w:lang w:eastAsia="zh-CN"/>
        </w:rPr>
        <w:t>工程施工造成的损坏，由承包人自行承担责任和费用。</w:t>
      </w:r>
    </w:p>
    <w:p w14:paraId="71459C2B">
      <w:pPr>
        <w:spacing w:line="360" w:lineRule="auto"/>
        <w:ind w:right="11"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（4）工程施工期间，承包人应做好相邻道路及房屋的安全防护工作，保证道路的正常</w:t>
      </w:r>
      <w:r>
        <w:rPr>
          <w:rFonts w:hint="eastAsia" w:ascii="宋体" w:hAnsi="宋体" w:eastAsia="宋体" w:cs="宋体"/>
          <w:spacing w:val="-8"/>
          <w:sz w:val="24"/>
          <w:szCs w:val="24"/>
          <w:lang w:eastAsia="zh-CN"/>
        </w:rPr>
        <w:t>通行。</w:t>
      </w:r>
    </w:p>
    <w:p w14:paraId="16852039">
      <w:pPr>
        <w:spacing w:line="360" w:lineRule="auto"/>
        <w:ind w:left="4" w:right="1"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（5）在施工期间，必须设有专职安全员，按规定配备适当数量的消防灭火器材，建立</w:t>
      </w:r>
      <w:r>
        <w:rPr>
          <w:rFonts w:hint="eastAsia" w:ascii="宋体" w:hAnsi="宋体" w:eastAsia="宋体" w:cs="宋体"/>
          <w:spacing w:val="-1"/>
          <w:sz w:val="24"/>
          <w:szCs w:val="24"/>
          <w:lang w:eastAsia="zh-CN"/>
        </w:rPr>
        <w:t>消防安全方面的制度和措施，并报发包人、监理人及有关部门。如发现安全隐患，承包人必须在规定时间内及时整改。</w:t>
      </w:r>
    </w:p>
    <w:p w14:paraId="0C31F544">
      <w:pPr>
        <w:spacing w:line="360" w:lineRule="auto"/>
        <w:ind w:left="2"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（6）承包人负责对其在施工场地的工作人员进行安全教育。发包人、监理人等不得要</w:t>
      </w:r>
      <w:r>
        <w:rPr>
          <w:rFonts w:hint="eastAsia" w:ascii="宋体" w:hAnsi="宋体" w:eastAsia="宋体" w:cs="宋体"/>
          <w:spacing w:val="-1"/>
          <w:sz w:val="24"/>
          <w:szCs w:val="24"/>
          <w:lang w:eastAsia="zh-CN"/>
        </w:rPr>
        <w:t>求承包人违反安全管理的规定进行施工，因发包人、监理人等强行要求承包人违规施工导致</w:t>
      </w:r>
      <w:r>
        <w:rPr>
          <w:rFonts w:hint="eastAsia" w:ascii="宋体" w:hAnsi="宋体" w:eastAsia="宋体" w:cs="宋体"/>
          <w:sz w:val="24"/>
          <w:szCs w:val="24"/>
          <w:lang w:eastAsia="zh-CN"/>
        </w:rPr>
        <w:t>的安全事故，由发包人、监理人等承担相应责任及发</w:t>
      </w:r>
      <w:r>
        <w:rPr>
          <w:rFonts w:hint="eastAsia" w:ascii="宋体" w:hAnsi="宋体" w:eastAsia="宋体" w:cs="宋体"/>
          <w:spacing w:val="-1"/>
          <w:sz w:val="24"/>
          <w:szCs w:val="24"/>
          <w:lang w:eastAsia="zh-CN"/>
        </w:rPr>
        <w:t>生的费用。</w:t>
      </w:r>
    </w:p>
    <w:p w14:paraId="739ADAE9">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（7）承包人应遵守工程建设安全生产有关管理规定，严格按安全标准组织施工，并随</w:t>
      </w:r>
      <w:r>
        <w:rPr>
          <w:rFonts w:hint="eastAsia" w:ascii="宋体" w:hAnsi="宋体" w:eastAsia="宋体" w:cs="宋体"/>
          <w:spacing w:val="-1"/>
          <w:sz w:val="24"/>
          <w:szCs w:val="24"/>
          <w:lang w:eastAsia="zh-CN"/>
        </w:rPr>
        <w:t>时接受行业安全检查人员及工程监理依法实施的监督检查，采取必要的安全防护措施，设置专职的安全员，消除事故隐患。由于承包人安全措施不力造成事故（包括第三方事故）的责任和因此发生的费用，由承包人承担。</w:t>
      </w:r>
    </w:p>
    <w:p w14:paraId="16CD191A">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（8）承包人应承担由于自身安全防护措施不力造成的经济损失和责任，包括但不限于</w:t>
      </w:r>
      <w:r>
        <w:rPr>
          <w:rFonts w:hint="eastAsia" w:ascii="宋体" w:hAnsi="宋体" w:eastAsia="宋体" w:cs="宋体"/>
          <w:spacing w:val="-1"/>
          <w:sz w:val="24"/>
          <w:szCs w:val="24"/>
          <w:lang w:eastAsia="zh-CN"/>
        </w:rPr>
        <w:t>在整个合同实施过程中，承包人应对现场人员的安全、现场秩序、工程保护、环境保护等负责；并就施工现场、照明、防护、标志、警告信号、门卫人员等作出具体安排，未尽事宜按</w:t>
      </w:r>
      <w:r>
        <w:rPr>
          <w:rFonts w:hint="eastAsia" w:ascii="宋体" w:hAnsi="宋体" w:eastAsia="宋体" w:cs="宋体"/>
          <w:spacing w:val="-3"/>
          <w:sz w:val="24"/>
          <w:szCs w:val="24"/>
          <w:lang w:eastAsia="zh-CN"/>
        </w:rPr>
        <w:t>通用条款执行。</w:t>
      </w:r>
    </w:p>
    <w:p w14:paraId="5548C90B">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7.6.3文明施工：</w:t>
      </w:r>
    </w:p>
    <w:p w14:paraId="64559997">
      <w:pPr>
        <w:tabs>
          <w:tab w:val="left" w:pos="492"/>
        </w:tabs>
        <w:spacing w:line="360" w:lineRule="auto"/>
        <w:ind w:firstLine="456" w:firstLineChars="200"/>
        <w:rPr>
          <w:rFonts w:hint="eastAsia" w:ascii="宋体" w:hAnsi="宋体" w:eastAsia="宋体" w:cs="宋体"/>
          <w:spacing w:val="-1"/>
          <w:sz w:val="24"/>
          <w:szCs w:val="24"/>
          <w:u w:val="single"/>
          <w:lang w:eastAsia="zh-CN"/>
        </w:rPr>
      </w:pPr>
      <w:r>
        <w:rPr>
          <w:rFonts w:hint="eastAsia" w:ascii="宋体" w:hAnsi="宋体" w:eastAsia="宋体" w:cs="宋体"/>
          <w:spacing w:val="-6"/>
          <w:sz w:val="24"/>
          <w:szCs w:val="24"/>
          <w:u w:val="single"/>
          <w:lang w:eastAsia="zh-CN"/>
        </w:rPr>
        <w:t>（1）</w:t>
      </w:r>
      <w:r>
        <w:rPr>
          <w:rFonts w:hint="eastAsia" w:ascii="宋体" w:hAnsi="宋体" w:eastAsia="宋体" w:cs="宋体"/>
          <w:spacing w:val="-5"/>
          <w:sz w:val="24"/>
          <w:szCs w:val="24"/>
          <w:u w:val="single"/>
          <w:lang w:eastAsia="zh-CN"/>
        </w:rPr>
        <w:t>由于管理不善，引起政府有关部门罚</w:t>
      </w:r>
      <w:r>
        <w:rPr>
          <w:rFonts w:hint="eastAsia" w:ascii="宋体" w:hAnsi="宋体" w:eastAsia="宋体" w:cs="宋体"/>
          <w:spacing w:val="-6"/>
          <w:sz w:val="24"/>
          <w:szCs w:val="24"/>
          <w:u w:val="single"/>
          <w:lang w:eastAsia="zh-CN"/>
        </w:rPr>
        <w:t>款、停工整改等处罚，其发生的损失由承包人</w:t>
      </w:r>
      <w:r>
        <w:rPr>
          <w:rFonts w:hint="eastAsia" w:ascii="宋体" w:hAnsi="宋体" w:eastAsia="宋体" w:cs="宋体"/>
          <w:spacing w:val="-1"/>
          <w:sz w:val="24"/>
          <w:szCs w:val="24"/>
          <w:u w:val="single"/>
          <w:lang w:eastAsia="zh-CN"/>
        </w:rPr>
        <w:t>自行承担，发包人保留依据承包人停工整改的天数相应顺延缓付工程款的权利。其他相关事项按合同附件相关条款执行。</w:t>
      </w:r>
    </w:p>
    <w:p w14:paraId="42F21397">
      <w:pPr>
        <w:tabs>
          <w:tab w:val="left" w:pos="492"/>
        </w:tabs>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u w:val="single"/>
          <w:lang w:eastAsia="zh-CN"/>
        </w:rPr>
        <w:t>（2）承包人要协调好与当地居民及企事业单位的关系，因此发生的费用由承包人自行承</w:t>
      </w:r>
      <w:r>
        <w:rPr>
          <w:rFonts w:hint="eastAsia" w:ascii="宋体" w:hAnsi="宋体" w:eastAsia="宋体" w:cs="宋体"/>
          <w:spacing w:val="-3"/>
          <w:sz w:val="24"/>
          <w:szCs w:val="24"/>
          <w:u w:val="single"/>
          <w:lang w:eastAsia="zh-CN"/>
        </w:rPr>
        <w:t>担。</w:t>
      </w:r>
    </w:p>
    <w:p w14:paraId="5BE66A9C">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7.9临时性公用设施</w:t>
      </w:r>
    </w:p>
    <w:p w14:paraId="3194CBF3">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关于临时性公用设施的特别约定：</w:t>
      </w:r>
      <w:r>
        <w:rPr>
          <w:rFonts w:hint="eastAsia" w:ascii="宋体" w:hAnsi="宋体" w:eastAsia="宋体" w:cs="宋体"/>
          <w:spacing w:val="-1"/>
          <w:sz w:val="24"/>
          <w:szCs w:val="24"/>
          <w:u w:val="single"/>
          <w:lang w:eastAsia="zh-CN"/>
        </w:rPr>
        <w:t>按相关规定执行。</w:t>
      </w:r>
    </w:p>
    <w:p w14:paraId="3460E49F">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042F7C36">
      <w:pPr>
        <w:spacing w:line="360" w:lineRule="auto"/>
        <w:ind w:left="38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7.10现场安保</w:t>
      </w:r>
    </w:p>
    <w:p w14:paraId="2CBCCBEE">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承包人现场安保义务的特别约定：</w:t>
      </w:r>
      <w:r>
        <w:rPr>
          <w:rFonts w:hint="eastAsia" w:ascii="宋体" w:hAnsi="宋体" w:eastAsia="宋体" w:cs="宋体"/>
          <w:spacing w:val="-2"/>
          <w:sz w:val="24"/>
          <w:szCs w:val="24"/>
          <w:u w:val="single"/>
          <w:lang w:eastAsia="zh-CN"/>
        </w:rPr>
        <w:t>由承包人负责。</w:t>
      </w:r>
    </w:p>
    <w:p w14:paraId="61E838A9">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第8条工期和进度</w:t>
      </w:r>
    </w:p>
    <w:p w14:paraId="24D28503">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8.1开始工作</w:t>
      </w:r>
    </w:p>
    <w:p w14:paraId="3B4580DB">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8.1.1开始准备工作：</w:t>
      </w:r>
      <w:r>
        <w:rPr>
          <w:rFonts w:hint="eastAsia" w:ascii="宋体" w:hAnsi="宋体" w:eastAsia="宋体" w:cs="宋体"/>
          <w:spacing w:val="-1"/>
          <w:sz w:val="24"/>
          <w:szCs w:val="24"/>
          <w:u w:val="single"/>
          <w:lang w:eastAsia="zh-CN"/>
        </w:rPr>
        <w:t>/。</w:t>
      </w:r>
    </w:p>
    <w:p w14:paraId="746D374F">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8.1.2发包人可在计划开始工作之日起84日后发出开始工作通知的特殊情形：</w:t>
      </w:r>
      <w:r>
        <w:rPr>
          <w:rFonts w:hint="eastAsia" w:ascii="宋体" w:hAnsi="宋体" w:eastAsia="宋体" w:cs="宋体"/>
          <w:spacing w:val="-2"/>
          <w:sz w:val="24"/>
          <w:szCs w:val="24"/>
          <w:u w:val="single"/>
          <w:lang w:eastAsia="zh-CN"/>
        </w:rPr>
        <w:t>/。</w:t>
      </w:r>
    </w:p>
    <w:p w14:paraId="1CEFC52B">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8.2竣工日期</w:t>
      </w:r>
    </w:p>
    <w:p w14:paraId="356BB2A7">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竣工日期的约定：</w:t>
      </w:r>
      <w:r>
        <w:rPr>
          <w:rFonts w:hint="eastAsia" w:ascii="宋体" w:hAnsi="宋体" w:eastAsia="宋体" w:cs="宋体"/>
          <w:spacing w:val="-1"/>
          <w:sz w:val="24"/>
          <w:szCs w:val="24"/>
          <w:u w:val="single"/>
          <w:lang w:eastAsia="zh-CN"/>
        </w:rPr>
        <w:t>。</w:t>
      </w:r>
    </w:p>
    <w:p w14:paraId="7FB174B3">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8.3项目实施计划</w:t>
      </w:r>
    </w:p>
    <w:p w14:paraId="55D6F488">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8.3.1项目实施计划的内容</w:t>
      </w:r>
    </w:p>
    <w:p w14:paraId="326FE8D6">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项目实施计划的内容：</w:t>
      </w:r>
      <w:r>
        <w:rPr>
          <w:rFonts w:hint="eastAsia" w:ascii="宋体" w:hAnsi="宋体" w:eastAsia="宋体" w:cs="宋体"/>
          <w:spacing w:val="-1"/>
          <w:sz w:val="24"/>
          <w:szCs w:val="24"/>
          <w:u w:val="single"/>
          <w:lang w:eastAsia="zh-CN"/>
        </w:rPr>
        <w:t>执行通用条款。</w:t>
      </w:r>
    </w:p>
    <w:p w14:paraId="0A443502">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8.3.2项目实施计划的提交和修改</w:t>
      </w:r>
    </w:p>
    <w:p w14:paraId="75B24A57">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项目实施计划的提交及修改期限：</w:t>
      </w:r>
      <w:r>
        <w:rPr>
          <w:rFonts w:hint="eastAsia" w:ascii="宋体" w:hAnsi="宋体" w:eastAsia="宋体" w:cs="宋体"/>
          <w:spacing w:val="-1"/>
          <w:sz w:val="24"/>
          <w:szCs w:val="24"/>
          <w:u w:val="single"/>
          <w:lang w:eastAsia="zh-CN"/>
        </w:rPr>
        <w:t>执行通用条款。</w:t>
      </w:r>
    </w:p>
    <w:p w14:paraId="53DAE9C9">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8.4项目进度计划</w:t>
      </w:r>
    </w:p>
    <w:p w14:paraId="1047995E">
      <w:pPr>
        <w:spacing w:line="360" w:lineRule="auto"/>
        <w:ind w:left="383"/>
        <w:rPr>
          <w:rFonts w:hint="eastAsia" w:ascii="宋体" w:hAnsi="宋体" w:eastAsia="宋体" w:cs="宋体"/>
          <w:sz w:val="24"/>
          <w:szCs w:val="24"/>
          <w:lang w:eastAsia="zh-CN"/>
        </w:rPr>
      </w:pPr>
      <w:r>
        <w:rPr>
          <w:rFonts w:hint="eastAsia" w:ascii="宋体" w:hAnsi="宋体" w:eastAsia="宋体" w:cs="宋体"/>
          <w:sz w:val="24"/>
          <w:szCs w:val="24"/>
          <w:lang w:eastAsia="zh-CN"/>
        </w:rPr>
        <w:t>8.4.1工程师在收到进度计划后确认或提出修改意见的期限：</w:t>
      </w:r>
      <w:r>
        <w:rPr>
          <w:rFonts w:hint="eastAsia" w:ascii="宋体" w:hAnsi="宋体" w:eastAsia="宋体" w:cs="宋体"/>
          <w:spacing w:val="-1"/>
          <w:sz w:val="24"/>
          <w:szCs w:val="24"/>
          <w:u w:val="single"/>
          <w:lang w:eastAsia="zh-CN"/>
        </w:rPr>
        <w:t>7日内。</w:t>
      </w:r>
    </w:p>
    <w:p w14:paraId="25D35A5B">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8.4.2进度计划的具体要求：</w:t>
      </w:r>
      <w:r>
        <w:rPr>
          <w:rFonts w:hint="eastAsia" w:ascii="宋体" w:hAnsi="宋体" w:eastAsia="宋体" w:cs="宋体"/>
          <w:spacing w:val="-1"/>
          <w:sz w:val="24"/>
          <w:szCs w:val="24"/>
          <w:u w:val="single"/>
          <w:lang w:eastAsia="zh-CN"/>
        </w:rPr>
        <w:t>/。</w:t>
      </w:r>
    </w:p>
    <w:p w14:paraId="383E192B">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关键路径及关键路径变化的确定原则：</w:t>
      </w:r>
      <w:r>
        <w:rPr>
          <w:rFonts w:hint="eastAsia" w:ascii="宋体" w:hAnsi="宋体" w:eastAsia="宋体" w:cs="宋体"/>
          <w:spacing w:val="-2"/>
          <w:sz w:val="24"/>
          <w:szCs w:val="24"/>
          <w:u w:val="single"/>
          <w:lang w:eastAsia="zh-CN"/>
        </w:rPr>
        <w:t>/。</w:t>
      </w:r>
    </w:p>
    <w:p w14:paraId="415864BB">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承包人提交项目进度计划的份数和时间：</w:t>
      </w:r>
      <w:r>
        <w:rPr>
          <w:rFonts w:hint="eastAsia" w:ascii="宋体" w:hAnsi="宋体" w:eastAsia="宋体" w:cs="宋体"/>
          <w:spacing w:val="-1"/>
          <w:sz w:val="24"/>
          <w:szCs w:val="24"/>
          <w:u w:val="single"/>
          <w:lang w:eastAsia="zh-CN"/>
        </w:rPr>
        <w:t>/。</w:t>
      </w:r>
    </w:p>
    <w:p w14:paraId="771D392A">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8.4.3进度计划的修订</w:t>
      </w:r>
    </w:p>
    <w:p w14:paraId="3726FB4A">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承包人提交修订项目进度计划申请报告的期限：</w:t>
      </w:r>
      <w:r>
        <w:rPr>
          <w:rFonts w:hint="eastAsia" w:ascii="宋体" w:hAnsi="宋体" w:eastAsia="宋体" w:cs="宋体"/>
          <w:spacing w:val="-1"/>
          <w:sz w:val="24"/>
          <w:szCs w:val="24"/>
          <w:u w:val="single"/>
          <w:lang w:eastAsia="zh-CN"/>
        </w:rPr>
        <w:t>/。</w:t>
      </w:r>
    </w:p>
    <w:p w14:paraId="6D83299C">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发包人批复修订项目进度计划申请报告的期限：</w:t>
      </w:r>
      <w:r>
        <w:rPr>
          <w:rFonts w:hint="eastAsia" w:ascii="宋体" w:hAnsi="宋体" w:eastAsia="宋体" w:cs="宋体"/>
          <w:spacing w:val="-1"/>
          <w:sz w:val="24"/>
          <w:szCs w:val="24"/>
          <w:u w:val="single"/>
          <w:lang w:eastAsia="zh-CN"/>
        </w:rPr>
        <w:t>/。</w:t>
      </w:r>
    </w:p>
    <w:p w14:paraId="5BE03CCE">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承包人答复发包人提出修订合同计划的期限：</w:t>
      </w:r>
      <w:r>
        <w:rPr>
          <w:rFonts w:hint="eastAsia" w:ascii="宋体" w:hAnsi="宋体" w:eastAsia="宋体" w:cs="宋体"/>
          <w:spacing w:val="-1"/>
          <w:sz w:val="24"/>
          <w:szCs w:val="24"/>
          <w:u w:val="single"/>
          <w:lang w:eastAsia="zh-CN"/>
        </w:rPr>
        <w:t>/。</w:t>
      </w:r>
    </w:p>
    <w:p w14:paraId="4489A3D8">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8.5进度报告</w:t>
      </w:r>
    </w:p>
    <w:p w14:paraId="6F5F7CB8">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进度报告的具体要求：</w:t>
      </w:r>
      <w:r>
        <w:rPr>
          <w:rFonts w:hint="eastAsia" w:ascii="宋体" w:hAnsi="宋体" w:eastAsia="宋体" w:cs="宋体"/>
          <w:spacing w:val="-1"/>
          <w:sz w:val="24"/>
          <w:szCs w:val="24"/>
          <w:u w:val="single"/>
          <w:lang w:eastAsia="zh-CN"/>
        </w:rPr>
        <w:t>双方协商确定。</w:t>
      </w:r>
    </w:p>
    <w:p w14:paraId="3D408439">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8.7工期延误</w:t>
      </w:r>
    </w:p>
    <w:p w14:paraId="6F1D4F67">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8.7.2因承包人原因导致工期延误</w:t>
      </w:r>
    </w:p>
    <w:p w14:paraId="527C144F">
      <w:pPr>
        <w:spacing w:line="360" w:lineRule="auto"/>
        <w:ind w:left="1" w:firstLine="397"/>
        <w:rPr>
          <w:rFonts w:hint="eastAsia" w:ascii="宋体" w:hAnsi="宋体" w:eastAsia="宋体" w:cs="宋体"/>
          <w:sz w:val="24"/>
          <w:szCs w:val="24"/>
          <w:lang w:eastAsia="zh-CN"/>
        </w:rPr>
      </w:pPr>
      <w:r>
        <w:rPr>
          <w:rFonts w:hint="eastAsia" w:ascii="宋体" w:hAnsi="宋体" w:eastAsia="宋体" w:cs="宋体"/>
          <w:spacing w:val="-3"/>
          <w:sz w:val="24"/>
          <w:szCs w:val="24"/>
          <w:u w:val="single"/>
          <w:lang w:eastAsia="zh-CN"/>
        </w:rPr>
        <w:t>因承包人原因使竣工日期延误，每延期竣工一天，承包人支付发包人签约合同价的0.05%</w:t>
      </w:r>
      <w:r>
        <w:rPr>
          <w:rFonts w:hint="eastAsia" w:ascii="宋体" w:hAnsi="宋体" w:eastAsia="宋体" w:cs="宋体"/>
          <w:spacing w:val="-1"/>
          <w:sz w:val="24"/>
          <w:szCs w:val="24"/>
          <w:u w:val="single"/>
          <w:lang w:eastAsia="zh-CN"/>
        </w:rPr>
        <w:t>的违约金；工程延期28日以上的，每日按签约合同价的0.1%向发包人支付违约金；除支付违约金外，履约保证金不予退还，并追究损失赔偿责任。属于政府安置房项目，因中标人（承包人）原因延期交付的，超期过度安置费应由中标人（承包人）支付。因承包人原因造成的延期竣工，工程延期竣工超过合同工期三分之一以上的，除支付违约金外，发包人将承包人</w:t>
      </w:r>
      <w:r>
        <w:rPr>
          <w:rFonts w:hint="eastAsia" w:ascii="宋体" w:hAnsi="宋体" w:eastAsia="宋体" w:cs="宋体"/>
          <w:sz w:val="24"/>
          <w:szCs w:val="24"/>
          <w:u w:val="single"/>
          <w:lang w:eastAsia="zh-CN"/>
        </w:rPr>
        <w:t>违约事实形成证据，由招标人或相关行业主管</w:t>
      </w:r>
      <w:r>
        <w:rPr>
          <w:rFonts w:hint="eastAsia" w:ascii="宋体" w:hAnsi="宋体" w:eastAsia="宋体" w:cs="宋体"/>
          <w:spacing w:val="-1"/>
          <w:sz w:val="24"/>
          <w:szCs w:val="24"/>
          <w:u w:val="single"/>
          <w:lang w:eastAsia="zh-CN"/>
        </w:rPr>
        <w:t>部门处理。</w:t>
      </w:r>
    </w:p>
    <w:p w14:paraId="7D23F822">
      <w:pPr>
        <w:tabs>
          <w:tab w:val="left" w:pos="489"/>
        </w:tabs>
        <w:spacing w:line="360" w:lineRule="auto"/>
        <w:ind w:left="3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8.7.3行政审批迟延</w:t>
      </w:r>
    </w:p>
    <w:p w14:paraId="67F31D98">
      <w:pPr>
        <w:spacing w:line="360" w:lineRule="auto"/>
        <w:ind w:right="5" w:firstLine="386"/>
        <w:rPr>
          <w:rFonts w:hint="eastAsia" w:ascii="宋体" w:hAnsi="宋体" w:eastAsia="宋体" w:cs="宋体"/>
          <w:sz w:val="24"/>
          <w:szCs w:val="24"/>
          <w:lang w:eastAsia="zh-CN"/>
        </w:rPr>
      </w:pPr>
      <w:r>
        <w:rPr>
          <w:rFonts w:hint="eastAsia" w:ascii="宋体" w:hAnsi="宋体" w:eastAsia="宋体" w:cs="宋体"/>
          <w:sz w:val="24"/>
          <w:szCs w:val="24"/>
          <w:lang w:eastAsia="zh-CN"/>
        </w:rPr>
        <w:t>行政审批报送的职责分工：除合同签订前已报送审批和行业主管部门要求须</w:t>
      </w:r>
      <w:r>
        <w:rPr>
          <w:rFonts w:hint="eastAsia" w:ascii="宋体" w:hAnsi="宋体" w:eastAsia="宋体" w:cs="宋体"/>
          <w:spacing w:val="-1"/>
          <w:sz w:val="24"/>
          <w:szCs w:val="24"/>
          <w:lang w:eastAsia="zh-CN"/>
        </w:rPr>
        <w:t>由发包人报送的工作外，其他工作均由承包人负责报送。</w:t>
      </w:r>
    </w:p>
    <w:p w14:paraId="74C34A20">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8.7.4异常恶劣的气候条件</w:t>
      </w:r>
    </w:p>
    <w:p w14:paraId="02FF9BC6">
      <w:pPr>
        <w:spacing w:line="360" w:lineRule="auto"/>
        <w:ind w:left="42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双方约定视为异常恶劣的气候条件的情形：</w:t>
      </w:r>
    </w:p>
    <w:p w14:paraId="2307AF02">
      <w:pPr>
        <w:spacing w:line="360" w:lineRule="auto"/>
        <w:ind w:left="421"/>
        <w:rPr>
          <w:rFonts w:hint="eastAsia" w:ascii="宋体" w:hAnsi="宋体" w:eastAsia="宋体" w:cs="宋体"/>
          <w:sz w:val="24"/>
          <w:szCs w:val="24"/>
          <w:lang w:eastAsia="zh-CN"/>
        </w:rPr>
      </w:pPr>
      <w:r>
        <w:rPr>
          <w:rFonts w:hint="eastAsia" w:ascii="宋体" w:hAnsi="宋体" w:eastAsia="宋体" w:cs="宋体"/>
          <w:spacing w:val="-4"/>
          <w:sz w:val="24"/>
          <w:szCs w:val="24"/>
          <w:u w:val="single"/>
          <w:lang w:eastAsia="zh-CN"/>
        </w:rPr>
        <w:t>（1）指在24小时内在施工区域内总降雨量超过95mm的暴雨；</w:t>
      </w:r>
    </w:p>
    <w:p w14:paraId="78D19C6B">
      <w:pPr>
        <w:tabs>
          <w:tab w:val="left" w:pos="532"/>
        </w:tabs>
        <w:spacing w:line="360" w:lineRule="auto"/>
        <w:ind w:left="413"/>
        <w:rPr>
          <w:rFonts w:hint="eastAsia" w:ascii="宋体" w:hAnsi="宋体" w:eastAsia="宋体" w:cs="宋体"/>
          <w:sz w:val="24"/>
          <w:szCs w:val="24"/>
          <w:lang w:eastAsia="zh-CN"/>
        </w:rPr>
      </w:pPr>
      <w:r>
        <w:rPr>
          <w:rFonts w:hint="eastAsia" w:ascii="宋体" w:hAnsi="宋体" w:eastAsia="宋体" w:cs="宋体"/>
          <w:spacing w:val="-7"/>
          <w:sz w:val="24"/>
          <w:szCs w:val="24"/>
          <w:u w:val="single"/>
          <w:lang w:eastAsia="zh-CN"/>
        </w:rPr>
        <w:t>（2）下雪量被有关当局定性为暴雪；</w:t>
      </w:r>
    </w:p>
    <w:p w14:paraId="1C6AAAA9">
      <w:pPr>
        <w:tabs>
          <w:tab w:val="left" w:pos="532"/>
        </w:tabs>
        <w:spacing w:line="360" w:lineRule="auto"/>
        <w:ind w:left="413"/>
        <w:rPr>
          <w:rFonts w:hint="eastAsia" w:ascii="宋体" w:hAnsi="宋体" w:eastAsia="宋体" w:cs="宋体"/>
          <w:sz w:val="24"/>
          <w:szCs w:val="24"/>
          <w:lang w:eastAsia="zh-CN"/>
        </w:rPr>
      </w:pPr>
      <w:r>
        <w:rPr>
          <w:rFonts w:hint="eastAsia" w:ascii="宋体" w:hAnsi="宋体" w:eastAsia="宋体" w:cs="宋体"/>
          <w:spacing w:val="-9"/>
          <w:sz w:val="24"/>
          <w:szCs w:val="24"/>
          <w:u w:val="single"/>
          <w:lang w:eastAsia="zh-CN"/>
        </w:rPr>
        <w:t>（3）风速达到8级的台风；</w:t>
      </w:r>
    </w:p>
    <w:p w14:paraId="4321DD8D">
      <w:pPr>
        <w:tabs>
          <w:tab w:val="left" w:pos="532"/>
        </w:tabs>
        <w:spacing w:line="360" w:lineRule="auto"/>
        <w:ind w:left="413"/>
        <w:rPr>
          <w:rFonts w:hint="eastAsia" w:ascii="宋体" w:hAnsi="宋体" w:eastAsia="宋体" w:cs="宋体"/>
          <w:sz w:val="24"/>
          <w:szCs w:val="24"/>
          <w:lang w:eastAsia="zh-CN"/>
        </w:rPr>
      </w:pPr>
      <w:r>
        <w:rPr>
          <w:rFonts w:hint="eastAsia" w:ascii="宋体" w:hAnsi="宋体" w:eastAsia="宋体" w:cs="宋体"/>
          <w:spacing w:val="-4"/>
          <w:sz w:val="24"/>
          <w:szCs w:val="24"/>
          <w:u w:val="single"/>
          <w:lang w:eastAsia="zh-CN"/>
        </w:rPr>
        <w:t>（4）连续3天日气温超过40摄氏度或低于零</w:t>
      </w:r>
      <w:r>
        <w:rPr>
          <w:rFonts w:hint="eastAsia" w:ascii="宋体" w:hAnsi="宋体" w:eastAsia="宋体" w:cs="宋体"/>
          <w:spacing w:val="-5"/>
          <w:sz w:val="24"/>
          <w:szCs w:val="24"/>
          <w:u w:val="single"/>
          <w:lang w:eastAsia="zh-CN"/>
        </w:rPr>
        <w:t>下10摄氏度。</w:t>
      </w:r>
    </w:p>
    <w:p w14:paraId="053D40F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上述气象资料以六安市气象部门公布的气象为准，否则视为承包人可以预见的</w:t>
      </w:r>
      <w:r>
        <w:rPr>
          <w:rFonts w:hint="eastAsia" w:ascii="宋体" w:hAnsi="宋体" w:eastAsia="宋体" w:cs="宋体"/>
          <w:spacing w:val="-1"/>
          <w:sz w:val="24"/>
          <w:szCs w:val="24"/>
          <w:u w:val="single"/>
          <w:lang w:eastAsia="zh-CN"/>
        </w:rPr>
        <w:t>风险</w:t>
      </w:r>
      <w:r>
        <w:rPr>
          <w:rFonts w:hint="eastAsia" w:ascii="宋体" w:hAnsi="宋体" w:eastAsia="宋体" w:cs="宋体"/>
          <w:spacing w:val="-1"/>
          <w:sz w:val="24"/>
          <w:szCs w:val="24"/>
          <w:lang w:eastAsia="zh-CN"/>
        </w:rPr>
        <w:t>。</w:t>
      </w:r>
    </w:p>
    <w:p w14:paraId="19F310CA">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8.8工期提前</w:t>
      </w:r>
    </w:p>
    <w:p w14:paraId="1CD7D7EC">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8.8.2承包人提前竣工的奖励：</w:t>
      </w:r>
      <w:r>
        <w:rPr>
          <w:rFonts w:hint="eastAsia" w:ascii="宋体" w:hAnsi="宋体" w:eastAsia="宋体" w:cs="宋体"/>
          <w:spacing w:val="-2"/>
          <w:sz w:val="24"/>
          <w:szCs w:val="24"/>
          <w:u w:val="single"/>
          <w:lang w:eastAsia="zh-CN"/>
        </w:rPr>
        <w:t>/。</w:t>
      </w:r>
    </w:p>
    <w:p w14:paraId="1F83379A">
      <w:pPr>
        <w:spacing w:line="360" w:lineRule="auto"/>
        <w:ind w:left="1"/>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第9条竣工试验</w:t>
      </w:r>
    </w:p>
    <w:p w14:paraId="07F8D1A3">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9.1竣工试验的义务</w:t>
      </w:r>
    </w:p>
    <w:p w14:paraId="6F8F00A7">
      <w:pPr>
        <w:spacing w:line="360" w:lineRule="auto"/>
        <w:ind w:left="384"/>
        <w:rPr>
          <w:rFonts w:hint="eastAsia" w:ascii="宋体" w:hAnsi="宋体" w:eastAsia="宋体" w:cs="宋体"/>
          <w:sz w:val="24"/>
          <w:szCs w:val="24"/>
          <w:lang w:eastAsia="zh-CN"/>
        </w:rPr>
      </w:pPr>
      <w:r>
        <w:rPr>
          <w:rFonts w:hint="eastAsia" w:ascii="宋体" w:hAnsi="宋体" w:eastAsia="宋体" w:cs="宋体"/>
          <w:sz w:val="24"/>
          <w:szCs w:val="24"/>
          <w:lang w:eastAsia="zh-CN"/>
        </w:rPr>
        <w:t>9.1.3竣工试验的阶段、内容和顺序：</w:t>
      </w:r>
      <w:r>
        <w:rPr>
          <w:rFonts w:hint="eastAsia" w:ascii="宋体" w:hAnsi="宋体" w:eastAsia="宋体" w:cs="宋体"/>
          <w:spacing w:val="-1"/>
          <w:sz w:val="24"/>
          <w:szCs w:val="24"/>
          <w:u w:val="single"/>
          <w:lang w:eastAsia="zh-CN"/>
        </w:rPr>
        <w:t>执行通用条款。</w:t>
      </w:r>
    </w:p>
    <w:p w14:paraId="5C18E779">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竣工试验的操作要求：</w:t>
      </w:r>
      <w:r>
        <w:rPr>
          <w:rFonts w:hint="eastAsia" w:ascii="宋体" w:hAnsi="宋体" w:eastAsia="宋体" w:cs="宋体"/>
          <w:spacing w:val="-1"/>
          <w:sz w:val="24"/>
          <w:szCs w:val="24"/>
          <w:u w:val="single"/>
          <w:lang w:eastAsia="zh-CN"/>
        </w:rPr>
        <w:t>执行通用条款。</w:t>
      </w:r>
    </w:p>
    <w:p w14:paraId="427500DF">
      <w:pPr>
        <w:spacing w:line="360" w:lineRule="auto"/>
        <w:ind w:left="1"/>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第10条验收和工程接收</w:t>
      </w:r>
    </w:p>
    <w:p w14:paraId="1DAF44C7">
      <w:pPr>
        <w:spacing w:line="360" w:lineRule="auto"/>
        <w:ind w:left="398"/>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10.1竣工验收</w:t>
      </w:r>
    </w:p>
    <w:p w14:paraId="67EE50FF">
      <w:pPr>
        <w:spacing w:line="360" w:lineRule="auto"/>
        <w:ind w:left="39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10.1.2关于竣工验收程序的约定：</w:t>
      </w:r>
      <w:r>
        <w:rPr>
          <w:rFonts w:hint="eastAsia" w:ascii="宋体" w:hAnsi="宋体" w:eastAsia="宋体" w:cs="宋体"/>
          <w:spacing w:val="-1"/>
          <w:sz w:val="24"/>
          <w:szCs w:val="24"/>
          <w:u w:val="single"/>
          <w:lang w:eastAsia="zh-CN"/>
        </w:rPr>
        <w:t>执行通用条款。</w:t>
      </w:r>
    </w:p>
    <w:p w14:paraId="3CA62426">
      <w:pPr>
        <w:spacing w:line="360" w:lineRule="auto"/>
        <w:ind w:left="9" w:right="4" w:firstLine="383"/>
        <w:rPr>
          <w:rFonts w:hint="eastAsia" w:ascii="宋体" w:hAnsi="宋体" w:eastAsia="宋体" w:cs="宋体"/>
          <w:sz w:val="24"/>
          <w:szCs w:val="24"/>
          <w:lang w:eastAsia="zh-CN"/>
        </w:rPr>
      </w:pPr>
      <w:r>
        <w:rPr>
          <w:rFonts w:hint="eastAsia" w:ascii="宋体" w:hAnsi="宋体" w:eastAsia="宋体" w:cs="宋体"/>
          <w:sz w:val="24"/>
          <w:szCs w:val="24"/>
          <w:lang w:eastAsia="zh-CN"/>
        </w:rPr>
        <w:t>发包人不按照合同约定组织竣工验收、颁发工程接受证书的违约金的计算方式</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执行通</w:t>
      </w:r>
      <w:r>
        <w:rPr>
          <w:rFonts w:hint="eastAsia" w:ascii="宋体" w:hAnsi="宋体" w:eastAsia="宋体" w:cs="宋体"/>
          <w:spacing w:val="-3"/>
          <w:sz w:val="24"/>
          <w:szCs w:val="24"/>
          <w:u w:val="single"/>
          <w:lang w:eastAsia="zh-CN"/>
        </w:rPr>
        <w:t>用条款。</w:t>
      </w:r>
    </w:p>
    <w:p w14:paraId="4CC593A8">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10.3工程的接收</w:t>
      </w:r>
    </w:p>
    <w:p w14:paraId="52BE634E">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10.3.1工程接收的先后顺序、时间安排和其他要求：。</w:t>
      </w:r>
    </w:p>
    <w:p w14:paraId="6CF487EB">
      <w:pPr>
        <w:spacing w:line="360" w:lineRule="auto"/>
        <w:ind w:left="9" w:right="2" w:firstLine="39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10.3.2接受工程时承包人需提交竣工验收资料的类别、内容、份数和提交时间：</w:t>
      </w:r>
      <w:r>
        <w:rPr>
          <w:rFonts w:hint="eastAsia" w:ascii="宋体" w:hAnsi="宋体" w:eastAsia="宋体" w:cs="宋体"/>
          <w:spacing w:val="-1"/>
          <w:sz w:val="24"/>
          <w:szCs w:val="24"/>
          <w:u w:val="single"/>
          <w:lang w:eastAsia="zh-CN"/>
        </w:rPr>
        <w:t>工程竣工后承包人的责任包括但不限于以下内容：按照建设部《城市建设档案管理规定》、现行</w:t>
      </w:r>
      <w:r>
        <w:rPr>
          <w:rFonts w:hint="eastAsia" w:ascii="宋体" w:hAnsi="宋体" w:eastAsia="宋体" w:cs="宋体"/>
          <w:sz w:val="24"/>
          <w:szCs w:val="24"/>
          <w:u w:val="single"/>
          <w:lang w:eastAsia="zh-CN"/>
        </w:rPr>
        <w:t>规范以及省市要求，负责收集、整理、装订组卷、</w:t>
      </w:r>
      <w:r>
        <w:rPr>
          <w:rFonts w:hint="eastAsia" w:ascii="宋体" w:hAnsi="宋体" w:eastAsia="宋体" w:cs="宋体"/>
          <w:spacing w:val="-1"/>
          <w:sz w:val="24"/>
          <w:szCs w:val="24"/>
          <w:u w:val="single"/>
          <w:lang w:eastAsia="zh-CN"/>
        </w:rPr>
        <w:t>上传等工作。</w:t>
      </w:r>
    </w:p>
    <w:p w14:paraId="7C0F2160">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10.3.3发包人逾期接收工程的违约责任：</w:t>
      </w:r>
      <w:r>
        <w:rPr>
          <w:rFonts w:hint="eastAsia" w:ascii="宋体" w:hAnsi="宋体" w:eastAsia="宋体" w:cs="宋体"/>
          <w:spacing w:val="-3"/>
          <w:sz w:val="24"/>
          <w:szCs w:val="24"/>
          <w:u w:val="single"/>
          <w:lang w:eastAsia="zh-CN"/>
        </w:rPr>
        <w:t>。</w:t>
      </w:r>
    </w:p>
    <w:p w14:paraId="6B806C5D">
      <w:pPr>
        <w:spacing w:line="360" w:lineRule="auto"/>
        <w:ind w:left="405"/>
        <w:rPr>
          <w:rFonts w:hint="eastAsia" w:ascii="宋体" w:hAnsi="宋体" w:eastAsia="宋体" w:cs="宋体"/>
          <w:sz w:val="24"/>
          <w:szCs w:val="24"/>
          <w:lang w:eastAsia="zh-CN"/>
        </w:rPr>
      </w:pPr>
      <w:r>
        <w:rPr>
          <w:rFonts w:hint="eastAsia" w:ascii="宋体" w:hAnsi="宋体" w:eastAsia="宋体" w:cs="宋体"/>
          <w:sz w:val="24"/>
          <w:szCs w:val="24"/>
          <w:lang w:eastAsia="zh-CN"/>
        </w:rPr>
        <w:t>10.3.4承包人无正当理由不移交工程的违约责</w:t>
      </w:r>
      <w:r>
        <w:rPr>
          <w:rFonts w:hint="eastAsia" w:ascii="宋体" w:hAnsi="宋体" w:eastAsia="宋体" w:cs="宋体"/>
          <w:spacing w:val="-1"/>
          <w:sz w:val="24"/>
          <w:szCs w:val="24"/>
          <w:lang w:eastAsia="zh-CN"/>
        </w:rPr>
        <w:t>任：</w:t>
      </w:r>
      <w:r>
        <w:rPr>
          <w:rFonts w:hint="eastAsia" w:ascii="宋体" w:hAnsi="宋体" w:eastAsia="宋体" w:cs="宋体"/>
          <w:spacing w:val="-1"/>
          <w:sz w:val="24"/>
          <w:szCs w:val="24"/>
          <w:u w:val="single"/>
          <w:lang w:eastAsia="zh-CN"/>
        </w:rPr>
        <w:t>。</w:t>
      </w:r>
    </w:p>
    <w:p w14:paraId="38CA1BCE">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10.4接收证书</w:t>
      </w:r>
    </w:p>
    <w:p w14:paraId="3C997698">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10.4.1工程接收证书颁发时间：</w:t>
      </w:r>
      <w:r>
        <w:rPr>
          <w:rFonts w:hint="eastAsia" w:ascii="宋体" w:hAnsi="宋体" w:eastAsia="宋体" w:cs="宋体"/>
          <w:spacing w:val="-3"/>
          <w:sz w:val="24"/>
          <w:szCs w:val="24"/>
          <w:u w:val="single"/>
          <w:lang w:eastAsia="zh-CN"/>
        </w:rPr>
        <w:t>。</w:t>
      </w:r>
    </w:p>
    <w:p w14:paraId="66676701">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10.5竣工退场</w:t>
      </w:r>
    </w:p>
    <w:p w14:paraId="27E77DA3">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10.5.1竣工退场的相关约定：</w:t>
      </w:r>
      <w:r>
        <w:rPr>
          <w:rFonts w:hint="eastAsia" w:ascii="宋体" w:hAnsi="宋体" w:eastAsia="宋体" w:cs="宋体"/>
          <w:spacing w:val="-3"/>
          <w:sz w:val="24"/>
          <w:szCs w:val="24"/>
          <w:u w:val="single"/>
          <w:lang w:eastAsia="zh-CN"/>
        </w:rPr>
        <w:t>。</w:t>
      </w:r>
    </w:p>
    <w:p w14:paraId="76CB9BBF">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10.5.3人员撤离</w:t>
      </w:r>
    </w:p>
    <w:p w14:paraId="7C22DDCD">
      <w:pPr>
        <w:spacing w:line="360" w:lineRule="auto"/>
        <w:ind w:left="392"/>
        <w:rPr>
          <w:rFonts w:hint="eastAsia" w:ascii="宋体" w:hAnsi="宋体" w:eastAsia="宋体" w:cs="宋体"/>
          <w:sz w:val="24"/>
          <w:szCs w:val="24"/>
          <w:lang w:eastAsia="zh-CN"/>
        </w:rPr>
      </w:pPr>
      <w:r>
        <w:rPr>
          <w:rFonts w:hint="eastAsia" w:ascii="宋体" w:hAnsi="宋体" w:eastAsia="宋体" w:cs="宋体"/>
          <w:sz w:val="24"/>
          <w:szCs w:val="24"/>
          <w:lang w:eastAsia="zh-CN"/>
        </w:rPr>
        <w:t>工程师同意需在缺陷责任期内继续工作和使用的人员、施工设备和临时工</w:t>
      </w:r>
      <w:r>
        <w:rPr>
          <w:rFonts w:hint="eastAsia" w:ascii="宋体" w:hAnsi="宋体" w:eastAsia="宋体" w:cs="宋体"/>
          <w:spacing w:val="-1"/>
          <w:sz w:val="24"/>
          <w:szCs w:val="24"/>
          <w:lang w:eastAsia="zh-CN"/>
        </w:rPr>
        <w:t>程的内容：</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w:t>
      </w:r>
    </w:p>
    <w:p w14:paraId="60A40592">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第11条缺陷责任与保修</w:t>
      </w:r>
    </w:p>
    <w:p w14:paraId="0F7694DF">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11.2缺陷责任期</w:t>
      </w:r>
    </w:p>
    <w:p w14:paraId="5339F8E4">
      <w:pPr>
        <w:spacing w:line="360" w:lineRule="auto"/>
        <w:ind w:left="38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缺陷责任期的期限：</w:t>
      </w:r>
      <w:r>
        <w:rPr>
          <w:rFonts w:hint="eastAsia" w:ascii="宋体" w:hAnsi="宋体" w:eastAsia="宋体" w:cs="宋体"/>
          <w:color w:val="auto"/>
          <w:sz w:val="24"/>
          <w:szCs w:val="24"/>
          <w:u w:val="single"/>
          <w:lang w:eastAsia="zh-CN"/>
        </w:rPr>
        <w:t>24个月，自竣工验收合格</w:t>
      </w:r>
      <w:r>
        <w:rPr>
          <w:rFonts w:hint="eastAsia" w:ascii="宋体" w:hAnsi="宋体" w:eastAsia="宋体" w:cs="宋体"/>
          <w:color w:val="auto"/>
          <w:spacing w:val="-1"/>
          <w:sz w:val="24"/>
          <w:szCs w:val="24"/>
          <w:u w:val="single"/>
          <w:lang w:eastAsia="zh-CN"/>
        </w:rPr>
        <w:t>之日起算。</w:t>
      </w:r>
    </w:p>
    <w:p w14:paraId="720E2069">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11.3缺陷调查</w:t>
      </w:r>
    </w:p>
    <w:p w14:paraId="22FE5754">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11.3.4修复通知</w:t>
      </w:r>
    </w:p>
    <w:p w14:paraId="1268FCAC">
      <w:pPr>
        <w:spacing w:line="360" w:lineRule="auto"/>
        <w:ind w:left="3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承包人收到保修通知并到达工程现场的合理时间：</w:t>
      </w:r>
      <w:r>
        <w:rPr>
          <w:rFonts w:hint="eastAsia" w:ascii="宋体" w:hAnsi="宋体" w:eastAsia="宋体" w:cs="宋体"/>
          <w:sz w:val="24"/>
          <w:szCs w:val="24"/>
          <w:u w:val="single"/>
          <w:lang w:eastAsia="zh-CN"/>
        </w:rPr>
        <w:t>。</w:t>
      </w:r>
    </w:p>
    <w:p w14:paraId="60B20D14">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11.6缺陷责任期终止证书</w:t>
      </w:r>
    </w:p>
    <w:p w14:paraId="29AC93C1">
      <w:pPr>
        <w:spacing w:line="360" w:lineRule="auto"/>
        <w:ind w:left="8" w:firstLine="381"/>
        <w:rPr>
          <w:rFonts w:hint="eastAsia" w:ascii="宋体" w:hAnsi="宋体" w:eastAsia="宋体" w:cs="宋体"/>
          <w:sz w:val="24"/>
          <w:szCs w:val="24"/>
          <w:lang w:eastAsia="zh-CN"/>
        </w:rPr>
      </w:pPr>
      <w:r>
        <w:rPr>
          <w:rFonts w:hint="eastAsia" w:ascii="宋体" w:hAnsi="宋体" w:eastAsia="宋体" w:cs="宋体"/>
          <w:sz w:val="24"/>
          <w:szCs w:val="24"/>
          <w:lang w:eastAsia="zh-CN"/>
        </w:rPr>
        <w:t>承包人应于缺陷责任期届满后天内向发包人发出缺陷责任期届满通知，发包人应在收到</w:t>
      </w:r>
      <w:r>
        <w:rPr>
          <w:rFonts w:hint="eastAsia" w:ascii="宋体" w:hAnsi="宋体" w:eastAsia="宋体" w:cs="宋体"/>
          <w:spacing w:val="-1"/>
          <w:sz w:val="24"/>
          <w:szCs w:val="24"/>
          <w:lang w:eastAsia="zh-CN"/>
        </w:rPr>
        <w:t>缺陷责任期满通知后天内核实承包人是否履行缺陷修复义务，承包人未能履行缺陷修复义务</w:t>
      </w:r>
      <w:r>
        <w:rPr>
          <w:rFonts w:hint="eastAsia" w:ascii="宋体" w:hAnsi="宋体" w:eastAsia="宋体" w:cs="宋体"/>
          <w:spacing w:val="2"/>
          <w:sz w:val="24"/>
          <w:szCs w:val="24"/>
          <w:lang w:eastAsia="zh-CN"/>
        </w:rPr>
        <w:t>的，发包人有权扣除相应金额的维修费用。发包人应在</w:t>
      </w:r>
      <w:r>
        <w:rPr>
          <w:rFonts w:hint="eastAsia" w:ascii="宋体" w:hAnsi="宋体" w:eastAsia="宋体" w:cs="宋体"/>
          <w:spacing w:val="1"/>
          <w:sz w:val="24"/>
          <w:szCs w:val="24"/>
          <w:lang w:eastAsia="zh-CN"/>
        </w:rPr>
        <w:t>收到缺陷责任期届满通知后天内，</w:t>
      </w:r>
      <w:r>
        <w:rPr>
          <w:rFonts w:hint="eastAsia" w:ascii="宋体" w:hAnsi="宋体" w:eastAsia="宋体" w:cs="宋体"/>
          <w:spacing w:val="-2"/>
          <w:sz w:val="24"/>
          <w:szCs w:val="24"/>
          <w:lang w:eastAsia="zh-CN"/>
        </w:rPr>
        <w:t>向承包人颁发缺陷责任期终止证书。</w:t>
      </w:r>
    </w:p>
    <w:p w14:paraId="5CAD24A2">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11.7保修责任</w:t>
      </w:r>
    </w:p>
    <w:p w14:paraId="79634CAA">
      <w:pPr>
        <w:spacing w:line="360" w:lineRule="auto"/>
        <w:ind w:left="392"/>
        <w:rPr>
          <w:rFonts w:hint="eastAsia" w:ascii="宋体" w:hAnsi="宋体" w:eastAsia="宋体" w:cs="宋体"/>
          <w:sz w:val="24"/>
          <w:szCs w:val="24"/>
          <w:lang w:eastAsia="zh-CN"/>
        </w:rPr>
      </w:pPr>
      <w:r>
        <w:rPr>
          <w:rFonts w:hint="eastAsia" w:ascii="宋体" w:hAnsi="宋体" w:eastAsia="宋体" w:cs="宋体"/>
          <w:sz w:val="24"/>
          <w:szCs w:val="24"/>
          <w:lang w:eastAsia="zh-CN"/>
        </w:rPr>
        <w:t>工程质量保修范围、期限和责任为：</w:t>
      </w:r>
      <w:r>
        <w:rPr>
          <w:rFonts w:hint="eastAsia" w:ascii="宋体" w:hAnsi="宋体" w:eastAsia="宋体" w:cs="宋体"/>
          <w:sz w:val="24"/>
          <w:szCs w:val="24"/>
          <w:u w:val="single"/>
          <w:lang w:eastAsia="zh-CN"/>
        </w:rPr>
        <w:t>见合同附件3</w:t>
      </w:r>
      <w:r>
        <w:rPr>
          <w:rFonts w:hint="eastAsia" w:ascii="宋体" w:hAnsi="宋体" w:eastAsia="宋体" w:cs="宋体"/>
          <w:spacing w:val="-1"/>
          <w:sz w:val="24"/>
          <w:szCs w:val="24"/>
          <w:u w:val="single"/>
          <w:lang w:eastAsia="zh-CN"/>
        </w:rPr>
        <w:t>工程质量保修书。</w:t>
      </w:r>
    </w:p>
    <w:p w14:paraId="71811296">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第12条竣工后试验</w:t>
      </w:r>
    </w:p>
    <w:p w14:paraId="7FB2F601">
      <w:pPr>
        <w:spacing w:line="360" w:lineRule="auto"/>
        <w:ind w:left="390"/>
        <w:rPr>
          <w:rFonts w:hint="eastAsia" w:ascii="宋体" w:hAnsi="宋体" w:eastAsia="宋体" w:cs="宋体"/>
          <w:sz w:val="24"/>
          <w:szCs w:val="24"/>
          <w:lang w:eastAsia="zh-CN"/>
        </w:rPr>
      </w:pPr>
      <w:r>
        <w:rPr>
          <w:rFonts w:hint="eastAsia" w:ascii="宋体" w:hAnsi="宋体" w:eastAsia="宋体" w:cs="宋体"/>
          <w:sz w:val="24"/>
          <w:szCs w:val="24"/>
          <w:lang w:eastAsia="zh-CN"/>
        </w:rPr>
        <w:t>本合同工程是否包含竣工后试验：</w:t>
      </w:r>
      <w:r>
        <w:rPr>
          <w:rFonts w:hint="eastAsia" w:ascii="宋体" w:hAnsi="宋体" w:eastAsia="宋体" w:cs="宋体"/>
          <w:sz w:val="24"/>
          <w:szCs w:val="24"/>
          <w:u w:val="single"/>
          <w:lang w:eastAsia="zh-CN"/>
        </w:rPr>
        <w:t>否。</w:t>
      </w:r>
    </w:p>
    <w:p w14:paraId="0F948BC3">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12.1竣工后试验的程序</w:t>
      </w:r>
    </w:p>
    <w:p w14:paraId="50C27402">
      <w:pPr>
        <w:spacing w:line="360" w:lineRule="auto"/>
        <w:ind w:left="7" w:right="4" w:firstLine="397"/>
        <w:jc w:val="both"/>
        <w:rPr>
          <w:rFonts w:hint="eastAsia" w:ascii="宋体" w:hAnsi="宋体" w:eastAsia="宋体" w:cs="宋体"/>
          <w:sz w:val="24"/>
          <w:szCs w:val="24"/>
          <w:u w:val="single"/>
          <w:lang w:eastAsia="zh-CN"/>
        </w:rPr>
      </w:pPr>
      <w:r>
        <w:rPr>
          <w:rFonts w:hint="eastAsia" w:ascii="宋体" w:hAnsi="宋体" w:eastAsia="宋体" w:cs="宋体"/>
          <w:spacing w:val="-3"/>
          <w:sz w:val="24"/>
          <w:szCs w:val="24"/>
          <w:lang w:eastAsia="zh-CN"/>
        </w:rPr>
        <w:t>12.1.2竣工后试验全部电力、水、污水处理、燃料、消耗品和材料，以及全部其他仪器</w:t>
      </w:r>
      <w:r>
        <w:rPr>
          <w:rFonts w:hint="eastAsia" w:ascii="宋体" w:hAnsi="宋体" w:eastAsia="宋体" w:cs="宋体"/>
          <w:spacing w:val="-5"/>
          <w:sz w:val="24"/>
          <w:szCs w:val="24"/>
          <w:lang w:eastAsia="zh-CN"/>
        </w:rPr>
        <w:t>、协助、文件或其他信息、设备、工具、劳力，启动工程设备，并组织安排有适当资质、经</w:t>
      </w:r>
      <w:r>
        <w:rPr>
          <w:rFonts w:hint="eastAsia" w:ascii="宋体" w:hAnsi="宋体" w:eastAsia="宋体" w:cs="宋体"/>
          <w:spacing w:val="1"/>
          <w:sz w:val="24"/>
          <w:szCs w:val="24"/>
          <w:lang w:eastAsia="zh-CN"/>
        </w:rPr>
        <w:t>验和能力的工作人员等必要条件的提供方：</w:t>
      </w:r>
      <w:r>
        <w:rPr>
          <w:rFonts w:hint="eastAsia" w:ascii="宋体" w:hAnsi="宋体" w:eastAsia="宋体" w:cs="宋体"/>
          <w:sz w:val="24"/>
          <w:szCs w:val="24"/>
          <w:u w:val="single"/>
          <w:lang w:eastAsia="zh-CN"/>
        </w:rPr>
        <w:t>。</w:t>
      </w:r>
    </w:p>
    <w:p w14:paraId="4EE94518">
      <w:pPr>
        <w:spacing w:line="360" w:lineRule="auto"/>
        <w:ind w:left="7" w:right="4"/>
        <w:jc w:val="both"/>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12.1.3竣工验收后进入绩效考核期，考核期2年，考核期间乙方要按照考核方案及标准制定相关的工作措施。两年内考核标准合格，予以支付相关费用，不合格不予支付。</w:t>
      </w:r>
    </w:p>
    <w:p w14:paraId="660C97C9">
      <w:pPr>
        <w:spacing w:line="360" w:lineRule="auto"/>
        <w:ind w:left="7" w:right="4" w:firstLine="397"/>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第13条变更与调整</w:t>
      </w:r>
    </w:p>
    <w:p w14:paraId="0C27F3B5">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13.2承包人的合理化建议</w:t>
      </w:r>
    </w:p>
    <w:p w14:paraId="73BD19A1">
      <w:pPr>
        <w:spacing w:line="360" w:lineRule="auto"/>
        <w:ind w:left="1" w:right="66" w:firstLine="39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13.2.2工程师应在收到承包人提交的合理化建议后7日内审查完毕并报送发包人，发</w:t>
      </w:r>
      <w:r>
        <w:rPr>
          <w:rFonts w:hint="eastAsia" w:ascii="宋体" w:hAnsi="宋体" w:eastAsia="宋体" w:cs="宋体"/>
          <w:spacing w:val="-1"/>
          <w:sz w:val="24"/>
          <w:szCs w:val="24"/>
          <w:lang w:eastAsia="zh-CN"/>
        </w:rPr>
        <w:t>现其中存在技术上的缺陷，应通知承包人修改。发包人应在收到工程师报送的合理化建议后日内审批完毕。合理化建议经发包人批准的，工程师应及时发出变更指示，由此引起的合同价格调整按照执行。发包人不同意变更的，工程师应书面通知承包人。</w:t>
      </w:r>
    </w:p>
    <w:p w14:paraId="388D1C24">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13.2.3承包人提出的合理化变更建议的利益分享约定：</w:t>
      </w:r>
      <w:r>
        <w:rPr>
          <w:rFonts w:hint="eastAsia" w:ascii="宋体" w:hAnsi="宋体" w:eastAsia="宋体" w:cs="宋体"/>
          <w:spacing w:val="-1"/>
          <w:sz w:val="24"/>
          <w:szCs w:val="24"/>
          <w:u w:val="single"/>
          <w:lang w:eastAsia="zh-CN"/>
        </w:rPr>
        <w:t>归发包人所有。</w:t>
      </w:r>
    </w:p>
    <w:p w14:paraId="187D653A">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13.3变更程序</w:t>
      </w:r>
    </w:p>
    <w:p w14:paraId="1DA114E0">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13.3.3变更估价</w:t>
      </w:r>
    </w:p>
    <w:p w14:paraId="47AA8EB2">
      <w:pPr>
        <w:spacing w:line="360" w:lineRule="auto"/>
        <w:ind w:left="397"/>
        <w:rPr>
          <w:rFonts w:hint="eastAsia" w:ascii="宋体" w:hAnsi="宋体" w:eastAsia="宋体" w:cs="宋体"/>
          <w:color w:val="auto"/>
          <w:sz w:val="24"/>
          <w:szCs w:val="24"/>
          <w:lang w:eastAsia="zh-CN"/>
        </w:rPr>
      </w:pPr>
      <w:r>
        <w:rPr>
          <w:color w:val="auto"/>
        </w:rPr>
        <w:fldChar w:fldCharType="begin"/>
      </w:r>
      <w:r>
        <w:rPr>
          <w:color w:val="auto"/>
        </w:rPr>
        <w:instrText xml:space="preserve"> HYPERLINK "file:///C:\\Users\\BHC\\xwechat_files\\wxid_t60v0qpn2rz922_def9\\msg\\file\\2026-04\\13.3.3.1" </w:instrText>
      </w:r>
      <w:r>
        <w:rPr>
          <w:color w:val="auto"/>
        </w:rPr>
        <w:fldChar w:fldCharType="separate"/>
      </w:r>
      <w:r>
        <w:rPr>
          <w:rFonts w:hint="eastAsia" w:ascii="宋体" w:hAnsi="宋体" w:eastAsia="宋体" w:cs="宋体"/>
          <w:color w:val="auto"/>
          <w:spacing w:val="-2"/>
          <w:sz w:val="24"/>
          <w:szCs w:val="24"/>
          <w:lang w:eastAsia="zh-CN"/>
        </w:rPr>
        <w:t>13.3.3.1</w:t>
      </w:r>
      <w:r>
        <w:rPr>
          <w:rFonts w:hint="eastAsia" w:ascii="宋体" w:hAnsi="宋体" w:eastAsia="宋体" w:cs="宋体"/>
          <w:color w:val="auto"/>
          <w:spacing w:val="-2"/>
          <w:sz w:val="24"/>
          <w:szCs w:val="24"/>
          <w:lang w:eastAsia="zh-CN"/>
        </w:rPr>
        <w:fldChar w:fldCharType="end"/>
      </w:r>
      <w:r>
        <w:rPr>
          <w:rFonts w:hint="eastAsia" w:ascii="宋体" w:hAnsi="宋体" w:eastAsia="宋体" w:cs="宋体"/>
          <w:color w:val="auto"/>
          <w:spacing w:val="-2"/>
          <w:sz w:val="24"/>
          <w:szCs w:val="24"/>
          <w:lang w:eastAsia="zh-CN"/>
        </w:rPr>
        <w:t>变更估价原则</w:t>
      </w:r>
    </w:p>
    <w:p w14:paraId="75311AC7">
      <w:pPr>
        <w:spacing w:line="360" w:lineRule="auto"/>
        <w:ind w:firstLine="480" w:firstLineChars="200"/>
        <w:rPr>
          <w:rFonts w:hint="eastAsia" w:ascii="宋体" w:hAnsi="宋体" w:eastAsia="宋体" w:cs="宋体"/>
          <w:spacing w:val="-1"/>
          <w:sz w:val="24"/>
          <w:szCs w:val="24"/>
          <w:u w:val="single"/>
          <w:lang w:eastAsia="zh-CN"/>
        </w:rPr>
      </w:pPr>
      <w:r>
        <w:rPr>
          <w:rFonts w:hint="eastAsia" w:ascii="宋体" w:hAnsi="宋体" w:eastAsia="宋体" w:cs="宋体"/>
          <w:sz w:val="24"/>
          <w:szCs w:val="24"/>
          <w:u w:val="single"/>
          <w:lang w:eastAsia="zh-CN"/>
        </w:rPr>
        <w:t>因工程变更引起已标价工程量清单项目或其</w:t>
      </w:r>
      <w:r>
        <w:rPr>
          <w:rFonts w:hint="eastAsia" w:ascii="宋体" w:hAnsi="宋体" w:eastAsia="宋体" w:cs="宋体"/>
          <w:spacing w:val="-1"/>
          <w:sz w:val="24"/>
          <w:szCs w:val="24"/>
          <w:u w:val="single"/>
          <w:lang w:eastAsia="zh-CN"/>
        </w:rPr>
        <w:t>工程数量发生变化时，按下列规定调整：</w:t>
      </w:r>
    </w:p>
    <w:p w14:paraId="77DD3582">
      <w:pPr>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u w:val="single"/>
          <w:lang w:eastAsia="zh-CN"/>
        </w:rPr>
        <w:t>（1）对承包人超出设计图纸（含设计变更图纸）范围和因承包人原因造成返工的工程量</w:t>
      </w:r>
      <w:r>
        <w:rPr>
          <w:rFonts w:hint="eastAsia" w:ascii="宋体" w:hAnsi="宋体" w:eastAsia="宋体" w:cs="宋体"/>
          <w:spacing w:val="4"/>
          <w:sz w:val="24"/>
          <w:szCs w:val="24"/>
          <w:u w:val="single"/>
          <w:lang w:eastAsia="zh-CN"/>
        </w:rPr>
        <w:t>,发包人不予计量，也不予变更价款。</w:t>
      </w:r>
    </w:p>
    <w:p w14:paraId="7C5AA7BF">
      <w:pPr>
        <w:tabs>
          <w:tab w:val="left" w:pos="492"/>
        </w:tabs>
        <w:spacing w:line="360" w:lineRule="auto"/>
        <w:ind w:left="2" w:right="72" w:firstLine="371"/>
        <w:rPr>
          <w:rFonts w:hint="eastAsia" w:ascii="宋体" w:hAnsi="宋体" w:eastAsia="宋体" w:cs="宋体"/>
          <w:sz w:val="24"/>
          <w:szCs w:val="24"/>
          <w:lang w:eastAsia="zh-CN"/>
        </w:rPr>
      </w:pPr>
      <w:r>
        <w:rPr>
          <w:rFonts w:hint="eastAsia" w:ascii="宋体" w:hAnsi="宋体" w:eastAsia="宋体" w:cs="宋体"/>
          <w:spacing w:val="-6"/>
          <w:sz w:val="24"/>
          <w:szCs w:val="24"/>
          <w:u w:val="single"/>
          <w:lang w:eastAsia="zh-CN"/>
        </w:rPr>
        <w:t>（2）</w:t>
      </w:r>
      <w:bookmarkStart w:id="37" w:name="OLE_LINK3"/>
      <w:r>
        <w:rPr>
          <w:rFonts w:hint="eastAsia" w:ascii="宋体" w:hAnsi="宋体" w:eastAsia="宋体" w:cs="宋体"/>
          <w:spacing w:val="-6"/>
          <w:sz w:val="24"/>
          <w:szCs w:val="24"/>
          <w:u w:val="single"/>
          <w:lang w:eastAsia="zh-CN"/>
        </w:rPr>
        <w:t>在实际施工过程中涉及工程变更、设计变更的，所有变更须经发包人书面同意后方</w:t>
      </w:r>
      <w:r>
        <w:rPr>
          <w:rFonts w:hint="eastAsia" w:ascii="宋体" w:hAnsi="宋体" w:eastAsia="宋体" w:cs="宋体"/>
          <w:spacing w:val="-2"/>
          <w:sz w:val="24"/>
          <w:szCs w:val="24"/>
          <w:u w:val="single"/>
          <w:lang w:eastAsia="zh-CN"/>
        </w:rPr>
        <w:t>可变更</w:t>
      </w:r>
      <w:bookmarkEnd w:id="37"/>
      <w:r>
        <w:rPr>
          <w:rFonts w:hint="eastAsia" w:ascii="宋体" w:hAnsi="宋体" w:eastAsia="宋体" w:cs="宋体"/>
          <w:spacing w:val="-2"/>
          <w:sz w:val="24"/>
          <w:szCs w:val="24"/>
          <w:u w:val="single"/>
          <w:lang w:eastAsia="zh-CN"/>
        </w:rPr>
        <w:t>。</w:t>
      </w:r>
    </w:p>
    <w:p w14:paraId="3CE23D67">
      <w:pPr>
        <w:tabs>
          <w:tab w:val="left" w:pos="492"/>
        </w:tabs>
        <w:spacing w:line="360" w:lineRule="auto"/>
        <w:ind w:left="1" w:right="68" w:firstLine="372"/>
        <w:rPr>
          <w:rFonts w:hint="eastAsia" w:ascii="宋体" w:hAnsi="宋体" w:eastAsia="宋体" w:cs="宋体"/>
          <w:sz w:val="24"/>
          <w:szCs w:val="24"/>
          <w:lang w:eastAsia="zh-CN"/>
        </w:rPr>
      </w:pPr>
      <w:r>
        <w:rPr>
          <w:rFonts w:hint="eastAsia" w:ascii="宋体" w:hAnsi="宋体" w:eastAsia="宋体" w:cs="宋体"/>
          <w:spacing w:val="-6"/>
          <w:sz w:val="24"/>
          <w:szCs w:val="24"/>
          <w:u w:val="single"/>
          <w:lang w:eastAsia="zh-CN"/>
        </w:rPr>
        <w:t>（3）合同或设计图纸范围以内的工程变更、设计变更，计价依据按清单控制价编制依据</w:t>
      </w:r>
      <w:r>
        <w:rPr>
          <w:rFonts w:hint="eastAsia" w:ascii="宋体" w:hAnsi="宋体" w:eastAsia="宋体" w:cs="宋体"/>
          <w:sz w:val="24"/>
          <w:szCs w:val="24"/>
          <w:u w:val="single"/>
          <w:lang w:eastAsia="zh-CN"/>
        </w:rPr>
        <w:t>、其他按安徽省及六安市等相关文件处理。计价原则：a、工程量清单中已有适</w:t>
      </w:r>
      <w:r>
        <w:rPr>
          <w:rFonts w:hint="eastAsia" w:ascii="宋体" w:hAnsi="宋体" w:eastAsia="宋体" w:cs="宋体"/>
          <w:spacing w:val="-1"/>
          <w:sz w:val="24"/>
          <w:szCs w:val="24"/>
          <w:u w:val="single"/>
          <w:lang w:eastAsia="zh-CN"/>
        </w:rPr>
        <w:t>用的综合单</w:t>
      </w:r>
      <w:r>
        <w:rPr>
          <w:rFonts w:hint="eastAsia" w:ascii="宋体" w:hAnsi="宋体" w:eastAsia="宋体" w:cs="宋体"/>
          <w:spacing w:val="-3"/>
          <w:sz w:val="24"/>
          <w:szCs w:val="24"/>
          <w:u w:val="single"/>
          <w:lang w:eastAsia="zh-CN"/>
        </w:rPr>
        <w:t>价，按已有综合单价确定。b、工程量清单</w:t>
      </w:r>
      <w:r>
        <w:rPr>
          <w:rFonts w:hint="eastAsia" w:ascii="宋体" w:hAnsi="宋体" w:eastAsia="宋体" w:cs="宋体"/>
          <w:spacing w:val="-4"/>
          <w:sz w:val="24"/>
          <w:szCs w:val="24"/>
          <w:u w:val="single"/>
          <w:lang w:eastAsia="zh-CN"/>
        </w:rPr>
        <w:t>中有类似的综合单价，参照类似的综合单价确定。</w:t>
      </w:r>
    </w:p>
    <w:p w14:paraId="4E5A6B5D">
      <w:pPr>
        <w:spacing w:line="360" w:lineRule="auto"/>
        <w:ind w:left="2" w:right="145" w:firstLine="2"/>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c、工程量清单中没有适用或类似的综合单价，由承包</w:t>
      </w:r>
      <w:r>
        <w:rPr>
          <w:rFonts w:hint="eastAsia" w:ascii="宋体" w:hAnsi="宋体" w:eastAsia="宋体" w:cs="宋体"/>
          <w:spacing w:val="-1"/>
          <w:sz w:val="24"/>
          <w:szCs w:val="24"/>
          <w:u w:val="single"/>
          <w:lang w:eastAsia="zh-CN"/>
        </w:rPr>
        <w:t>方提出综合单价，报跟踪审计或监理</w:t>
      </w:r>
      <w:r>
        <w:rPr>
          <w:rFonts w:hint="eastAsia" w:ascii="宋体" w:hAnsi="宋体" w:eastAsia="宋体" w:cs="宋体"/>
          <w:spacing w:val="-2"/>
          <w:sz w:val="24"/>
          <w:szCs w:val="24"/>
          <w:u w:val="single"/>
          <w:lang w:eastAsia="zh-CN"/>
        </w:rPr>
        <w:t>单位确认后执行。</w:t>
      </w:r>
    </w:p>
    <w:p w14:paraId="7DD5AB8B">
      <w:pPr>
        <w:tabs>
          <w:tab w:val="left" w:pos="492"/>
        </w:tabs>
        <w:spacing w:line="360" w:lineRule="auto"/>
        <w:ind w:right="75" w:firstLine="374"/>
        <w:rPr>
          <w:rFonts w:hint="eastAsia" w:ascii="宋体" w:hAnsi="宋体" w:eastAsia="宋体" w:cs="宋体"/>
          <w:sz w:val="24"/>
          <w:szCs w:val="24"/>
          <w:lang w:eastAsia="zh-CN"/>
        </w:rPr>
      </w:pPr>
      <w:r>
        <w:rPr>
          <w:rFonts w:hint="eastAsia" w:ascii="宋体" w:hAnsi="宋体" w:eastAsia="宋体" w:cs="宋体"/>
          <w:spacing w:val="-5"/>
          <w:sz w:val="24"/>
          <w:szCs w:val="24"/>
          <w:u w:val="single"/>
          <w:lang w:eastAsia="zh-CN"/>
        </w:rPr>
        <w:t>（4）所有涉及工程造价确定方面的资料（含所有的变更、签证</w:t>
      </w:r>
      <w:r>
        <w:rPr>
          <w:rFonts w:hint="eastAsia" w:ascii="宋体" w:hAnsi="宋体" w:eastAsia="宋体" w:cs="宋体"/>
          <w:spacing w:val="-6"/>
          <w:sz w:val="24"/>
          <w:szCs w:val="24"/>
          <w:u w:val="single"/>
          <w:lang w:eastAsia="zh-CN"/>
        </w:rPr>
        <w:t>资料</w:t>
      </w:r>
      <w:r>
        <w:rPr>
          <w:rFonts w:hint="eastAsia" w:ascii="宋体" w:hAnsi="宋体" w:eastAsia="宋体" w:cs="宋体"/>
          <w:spacing w:val="-15"/>
          <w:sz w:val="24"/>
          <w:szCs w:val="24"/>
          <w:u w:val="single"/>
          <w:lang w:eastAsia="zh-CN"/>
        </w:rPr>
        <w:t>），</w:t>
      </w:r>
      <w:r>
        <w:rPr>
          <w:rFonts w:hint="eastAsia" w:ascii="宋体" w:hAnsi="宋体" w:eastAsia="宋体" w:cs="宋体"/>
          <w:spacing w:val="-6"/>
          <w:sz w:val="24"/>
          <w:szCs w:val="24"/>
          <w:u w:val="single"/>
          <w:lang w:eastAsia="zh-CN"/>
        </w:rPr>
        <w:t>必须经过发包人</w:t>
      </w:r>
      <w:r>
        <w:rPr>
          <w:rFonts w:hint="eastAsia" w:ascii="宋体" w:hAnsi="宋体" w:eastAsia="宋体" w:cs="宋体"/>
          <w:sz w:val="24"/>
          <w:szCs w:val="24"/>
          <w:u w:val="single"/>
          <w:lang w:eastAsia="zh-CN"/>
        </w:rPr>
        <w:t>代表的书面确认后，方可作为竣工后价款结算</w:t>
      </w:r>
      <w:r>
        <w:rPr>
          <w:rFonts w:hint="eastAsia" w:ascii="宋体" w:hAnsi="宋体" w:eastAsia="宋体" w:cs="宋体"/>
          <w:spacing w:val="-1"/>
          <w:sz w:val="24"/>
          <w:szCs w:val="24"/>
          <w:u w:val="single"/>
          <w:lang w:eastAsia="zh-CN"/>
        </w:rPr>
        <w:t>的依据。</w:t>
      </w:r>
    </w:p>
    <w:p w14:paraId="0922EEC2">
      <w:pPr>
        <w:tabs>
          <w:tab w:val="left" w:pos="8360"/>
        </w:tabs>
        <w:spacing w:line="360" w:lineRule="auto"/>
        <w:ind w:firstLine="384"/>
        <w:jc w:val="both"/>
        <w:rPr>
          <w:rFonts w:hint="eastAsia" w:ascii="宋体" w:hAnsi="宋体" w:eastAsia="宋体" w:cs="宋体"/>
          <w:sz w:val="24"/>
          <w:szCs w:val="24"/>
          <w:lang w:eastAsia="zh-CN"/>
        </w:rPr>
      </w:pPr>
      <w:r>
        <w:rPr>
          <w:rFonts w:hint="eastAsia" w:ascii="宋体" w:hAnsi="宋体" w:eastAsia="宋体" w:cs="宋体"/>
          <w:spacing w:val="-4"/>
          <w:sz w:val="24"/>
          <w:szCs w:val="24"/>
          <w:u w:val="single"/>
          <w:lang w:eastAsia="zh-CN"/>
        </w:rPr>
        <w:t>工程变更引起施工方案改变并使措施项目发生变化时，承包人提出调整措施项</w:t>
      </w:r>
      <w:r>
        <w:rPr>
          <w:rFonts w:hint="eastAsia" w:ascii="宋体" w:hAnsi="宋体" w:eastAsia="宋体" w:cs="宋体"/>
          <w:spacing w:val="-5"/>
          <w:sz w:val="24"/>
          <w:szCs w:val="24"/>
          <w:u w:val="single"/>
          <w:lang w:eastAsia="zh-CN"/>
        </w:rPr>
        <w:t>目费的，</w:t>
      </w:r>
      <w:r>
        <w:rPr>
          <w:rFonts w:hint="eastAsia" w:ascii="宋体" w:hAnsi="宋体" w:eastAsia="宋体" w:cs="宋体"/>
          <w:spacing w:val="1"/>
          <w:sz w:val="24"/>
          <w:szCs w:val="24"/>
          <w:u w:val="single"/>
          <w:lang w:eastAsia="zh-CN"/>
        </w:rPr>
        <w:t>应事前将拟实施的方案提交发包人确认，并应详细说明与原方案措</w:t>
      </w:r>
      <w:r>
        <w:rPr>
          <w:rFonts w:hint="eastAsia" w:ascii="宋体" w:hAnsi="宋体" w:eastAsia="宋体" w:cs="宋体"/>
          <w:sz w:val="24"/>
          <w:szCs w:val="24"/>
          <w:u w:val="single"/>
          <w:lang w:eastAsia="zh-CN"/>
        </w:rPr>
        <w:t>施项目相比的变化情况。</w:t>
      </w:r>
      <w:r>
        <w:rPr>
          <w:rFonts w:hint="eastAsia" w:ascii="宋体" w:hAnsi="宋体" w:eastAsia="宋体" w:cs="宋体"/>
          <w:spacing w:val="1"/>
          <w:sz w:val="24"/>
          <w:szCs w:val="24"/>
          <w:u w:val="single"/>
          <w:lang w:eastAsia="zh-CN"/>
        </w:rPr>
        <w:t>拟实施的方案经发承包双方确认后执行调整措施项目费，计价依据</w:t>
      </w:r>
      <w:r>
        <w:rPr>
          <w:rFonts w:hint="eastAsia" w:ascii="宋体" w:hAnsi="宋体" w:eastAsia="宋体" w:cs="宋体"/>
          <w:sz w:val="24"/>
          <w:szCs w:val="24"/>
          <w:u w:val="single"/>
          <w:lang w:eastAsia="zh-CN"/>
        </w:rPr>
        <w:t>按清单控制价编制依据、</w:t>
      </w:r>
      <w:r>
        <w:rPr>
          <w:rFonts w:hint="eastAsia" w:ascii="宋体" w:hAnsi="宋体" w:eastAsia="宋体" w:cs="宋体"/>
          <w:spacing w:val="-1"/>
          <w:sz w:val="24"/>
          <w:szCs w:val="24"/>
          <w:u w:val="single"/>
          <w:lang w:eastAsia="zh-CN"/>
        </w:rPr>
        <w:t>其他按安徽省及六安市等相关文件处理。</w:t>
      </w:r>
    </w:p>
    <w:p w14:paraId="1C2E3450">
      <w:pPr>
        <w:spacing w:line="360" w:lineRule="auto"/>
        <w:ind w:left="381"/>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施工图或最终确定的预算书最终没有实施的部分从合同价中予以</w:t>
      </w:r>
      <w:r>
        <w:rPr>
          <w:rFonts w:hint="eastAsia" w:ascii="宋体" w:hAnsi="宋体" w:eastAsia="宋体" w:cs="宋体"/>
          <w:spacing w:val="-1"/>
          <w:sz w:val="24"/>
          <w:szCs w:val="24"/>
          <w:u w:val="single"/>
          <w:lang w:eastAsia="zh-CN"/>
        </w:rPr>
        <w:t>扣除。</w:t>
      </w:r>
    </w:p>
    <w:p w14:paraId="33999E81">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13.4暂估价</w:t>
      </w:r>
    </w:p>
    <w:p w14:paraId="2762929B">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13.4.1依法必须招标的暂估价项目</w:t>
      </w:r>
    </w:p>
    <w:p w14:paraId="0B9F12B0">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承包人可以参与投标的暂估价项目范围：</w:t>
      </w:r>
      <w:r>
        <w:rPr>
          <w:rFonts w:hint="eastAsia" w:ascii="宋体" w:hAnsi="宋体" w:eastAsia="宋体" w:cs="宋体"/>
          <w:sz w:val="24"/>
          <w:szCs w:val="24"/>
          <w:u w:val="single"/>
          <w:lang w:eastAsia="zh-CN"/>
        </w:rPr>
        <w:t>。</w:t>
      </w:r>
    </w:p>
    <w:p w14:paraId="709C9D43">
      <w:pPr>
        <w:spacing w:line="360" w:lineRule="auto"/>
        <w:ind w:left="3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承包人不得参与投标的暂估价项目范围：</w:t>
      </w:r>
      <w:r>
        <w:rPr>
          <w:rFonts w:hint="eastAsia" w:ascii="宋体" w:hAnsi="宋体" w:eastAsia="宋体" w:cs="宋体"/>
          <w:sz w:val="24"/>
          <w:szCs w:val="24"/>
          <w:u w:val="single"/>
          <w:lang w:eastAsia="zh-CN"/>
        </w:rPr>
        <w:t>。</w:t>
      </w:r>
    </w:p>
    <w:p w14:paraId="4349FD70">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招投标程序及其他约定：</w:t>
      </w:r>
      <w:r>
        <w:rPr>
          <w:rFonts w:hint="eastAsia" w:ascii="宋体" w:hAnsi="宋体" w:eastAsia="宋体" w:cs="宋体"/>
          <w:sz w:val="24"/>
          <w:szCs w:val="24"/>
          <w:u w:val="single"/>
          <w:lang w:eastAsia="zh-CN"/>
        </w:rPr>
        <w:t>。</w:t>
      </w:r>
    </w:p>
    <w:p w14:paraId="088C9353">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13.4.2不属于依法必须招标的暂估价项目</w:t>
      </w:r>
    </w:p>
    <w:p w14:paraId="13FC7E45">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不属于依法必须招标的暂估价项目的协商及估价</w:t>
      </w:r>
      <w:r>
        <w:rPr>
          <w:rFonts w:hint="eastAsia" w:ascii="宋体" w:hAnsi="宋体" w:eastAsia="宋体" w:cs="宋体"/>
          <w:sz w:val="24"/>
          <w:szCs w:val="24"/>
          <w:lang w:eastAsia="zh-CN"/>
        </w:rPr>
        <w:t>的约定：</w:t>
      </w:r>
      <w:r>
        <w:rPr>
          <w:rFonts w:hint="eastAsia" w:ascii="宋体" w:hAnsi="宋体" w:eastAsia="宋体" w:cs="宋体"/>
          <w:sz w:val="24"/>
          <w:szCs w:val="24"/>
          <w:u w:val="single"/>
          <w:lang w:eastAsia="zh-CN"/>
        </w:rPr>
        <w:t>。</w:t>
      </w:r>
    </w:p>
    <w:p w14:paraId="5884C97F">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13.5暂列金额</w:t>
      </w:r>
    </w:p>
    <w:p w14:paraId="79330252">
      <w:pPr>
        <w:spacing w:line="360" w:lineRule="auto"/>
        <w:ind w:left="3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其他关于暂列金额使用的约定：</w:t>
      </w:r>
      <w:r>
        <w:rPr>
          <w:rFonts w:hint="eastAsia" w:ascii="宋体" w:hAnsi="宋体" w:eastAsia="宋体" w:cs="宋体"/>
          <w:sz w:val="24"/>
          <w:szCs w:val="24"/>
          <w:u w:val="single"/>
          <w:lang w:eastAsia="zh-CN"/>
        </w:rPr>
        <w:t>。</w:t>
      </w:r>
    </w:p>
    <w:p w14:paraId="34ED074A">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13.8市场价格波动引起的调整</w:t>
      </w:r>
    </w:p>
    <w:p w14:paraId="043D7355">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13.8.2关于是否采用《价格指数权重表》的约定：</w:t>
      </w:r>
      <w:r>
        <w:rPr>
          <w:rFonts w:hint="eastAsia" w:ascii="宋体" w:hAnsi="宋体" w:eastAsia="宋体" w:cs="宋体"/>
          <w:spacing w:val="-1"/>
          <w:sz w:val="24"/>
          <w:szCs w:val="24"/>
          <w:u w:val="single"/>
          <w:lang w:eastAsia="zh-CN"/>
        </w:rPr>
        <w:t>否。</w:t>
      </w:r>
    </w:p>
    <w:p w14:paraId="447E485D">
      <w:pPr>
        <w:spacing w:line="360" w:lineRule="auto"/>
        <w:ind w:left="443"/>
        <w:rPr>
          <w:rFonts w:hint="eastAsia" w:ascii="宋体" w:hAnsi="宋体" w:eastAsia="宋体" w:cs="宋体"/>
          <w:sz w:val="24"/>
          <w:szCs w:val="24"/>
          <w:lang w:eastAsia="zh-CN"/>
        </w:rPr>
      </w:pPr>
      <w:r>
        <w:rPr>
          <w:rFonts w:hint="eastAsia" w:ascii="宋体" w:hAnsi="宋体" w:eastAsia="宋体" w:cs="宋体"/>
          <w:sz w:val="24"/>
          <w:szCs w:val="24"/>
          <w:lang w:eastAsia="zh-CN"/>
        </w:rPr>
        <w:t>13.8.3关于采用其他方式调整合同价款的约定：</w:t>
      </w:r>
      <w:r>
        <w:rPr>
          <w:rFonts w:hint="eastAsia" w:ascii="宋体" w:hAnsi="宋体" w:eastAsia="宋体" w:cs="宋体"/>
          <w:sz w:val="24"/>
          <w:szCs w:val="24"/>
          <w:u w:val="single"/>
          <w:lang w:eastAsia="zh-CN"/>
        </w:rPr>
        <w:t>。</w:t>
      </w:r>
    </w:p>
    <w:p w14:paraId="3BAAF260">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第14条合同价格与支付</w:t>
      </w:r>
    </w:p>
    <w:p w14:paraId="28211781">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14.1合同价格形式</w:t>
      </w:r>
    </w:p>
    <w:p w14:paraId="188F8668">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14.1.1关于合同价格形式的约定：</w:t>
      </w:r>
      <w:r>
        <w:rPr>
          <w:rFonts w:hint="eastAsia" w:ascii="宋体" w:hAnsi="宋体" w:eastAsia="宋体" w:cs="宋体"/>
          <w:spacing w:val="-1"/>
          <w:sz w:val="24"/>
          <w:szCs w:val="24"/>
          <w:u w:val="single"/>
          <w:lang w:eastAsia="zh-CN"/>
        </w:rPr>
        <w:t>总价合同。</w:t>
      </w:r>
    </w:p>
    <w:p w14:paraId="552415C0">
      <w:pPr>
        <w:spacing w:line="360" w:lineRule="auto"/>
        <w:ind w:left="40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14.1.2关于合同价格调整的约定：</w:t>
      </w:r>
    </w:p>
    <w:p w14:paraId="64635C03">
      <w:pPr>
        <w:spacing w:line="360" w:lineRule="auto"/>
        <w:ind w:left="8" w:right="4" w:firstLine="386"/>
        <w:jc w:val="both"/>
        <w:rPr>
          <w:rFonts w:hint="eastAsia" w:ascii="宋体" w:hAnsi="宋体" w:eastAsia="宋体" w:cs="宋体"/>
          <w:b/>
          <w:bCs/>
          <w:color w:val="auto"/>
          <w:spacing w:val="-4"/>
          <w:sz w:val="24"/>
          <w:szCs w:val="24"/>
          <w:highlight w:val="none"/>
          <w:u w:val="single"/>
          <w:lang w:eastAsia="zh-CN"/>
        </w:rPr>
      </w:pPr>
      <w:bookmarkStart w:id="38" w:name="OLE_LINK4"/>
      <w:r>
        <w:rPr>
          <w:rFonts w:hint="eastAsia" w:ascii="宋体" w:hAnsi="宋体" w:eastAsia="宋体" w:cs="宋体"/>
          <w:b/>
          <w:bCs/>
          <w:color w:val="auto"/>
          <w:spacing w:val="-2"/>
          <w:sz w:val="24"/>
          <w:szCs w:val="24"/>
          <w:highlight w:val="none"/>
          <w:u w:val="single"/>
          <w:lang w:eastAsia="zh-CN"/>
        </w:rPr>
        <w:t>工程</w:t>
      </w:r>
      <w:r>
        <w:rPr>
          <w:rFonts w:hint="eastAsia" w:ascii="宋体" w:hAnsi="宋体" w:eastAsia="宋体" w:cs="宋体"/>
          <w:b/>
          <w:bCs/>
          <w:color w:val="auto"/>
          <w:spacing w:val="-3"/>
          <w:sz w:val="24"/>
          <w:szCs w:val="24"/>
          <w:highlight w:val="none"/>
          <w:u w:val="single"/>
          <w:lang w:eastAsia="zh-CN"/>
        </w:rPr>
        <w:t>变更、签证费用</w:t>
      </w:r>
      <w:bookmarkEnd w:id="38"/>
      <w:r>
        <w:rPr>
          <w:rFonts w:hint="eastAsia" w:ascii="宋体" w:hAnsi="宋体" w:eastAsia="宋体" w:cs="宋体"/>
          <w:b/>
          <w:bCs/>
          <w:color w:val="auto"/>
          <w:spacing w:val="-3"/>
          <w:sz w:val="24"/>
          <w:szCs w:val="24"/>
          <w:highlight w:val="none"/>
          <w:u w:val="single"/>
          <w:lang w:eastAsia="zh-CN"/>
        </w:rPr>
        <w:t>（如有）±按合同约定的其他调整费用（包括不限于市场价</w:t>
      </w:r>
      <w:r>
        <w:rPr>
          <w:rFonts w:hint="eastAsia" w:ascii="宋体" w:hAnsi="宋体" w:eastAsia="宋体" w:cs="宋体"/>
          <w:b/>
          <w:bCs/>
          <w:color w:val="auto"/>
          <w:spacing w:val="-4"/>
          <w:sz w:val="24"/>
          <w:szCs w:val="24"/>
          <w:highlight w:val="none"/>
          <w:u w:val="single"/>
          <w:lang w:eastAsia="zh-CN"/>
        </w:rPr>
        <w:t>格波动引起的调差）。</w:t>
      </w:r>
    </w:p>
    <w:p w14:paraId="52CDC331">
      <w:pPr>
        <w:spacing w:line="360" w:lineRule="auto"/>
        <w:ind w:left="8" w:right="4" w:firstLine="38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u w:val="single"/>
          <w:lang w:eastAsia="zh-CN"/>
        </w:rPr>
        <w:t>特别说明：工程</w:t>
      </w:r>
      <w:r>
        <w:rPr>
          <w:rFonts w:hint="eastAsia" w:ascii="宋体" w:hAnsi="宋体" w:eastAsia="宋体" w:cs="宋体"/>
          <w:b/>
          <w:bCs/>
          <w:color w:val="auto"/>
          <w:spacing w:val="-3"/>
          <w:sz w:val="24"/>
          <w:szCs w:val="24"/>
          <w:highlight w:val="none"/>
          <w:u w:val="single"/>
          <w:lang w:eastAsia="zh-CN"/>
        </w:rPr>
        <w:t>变更与签证</w:t>
      </w:r>
      <w:r>
        <w:rPr>
          <w:rFonts w:hint="eastAsia" w:ascii="宋体" w:hAnsi="宋体" w:eastAsia="宋体" w:cs="宋体"/>
          <w:color w:val="auto"/>
          <w:spacing w:val="-6"/>
          <w:sz w:val="24"/>
          <w:szCs w:val="24"/>
          <w:highlight w:val="none"/>
          <w:u w:val="single"/>
          <w:lang w:eastAsia="zh-CN"/>
        </w:rPr>
        <w:t>须经发包人书面认可</w:t>
      </w:r>
      <w:r>
        <w:rPr>
          <w:rFonts w:hint="eastAsia" w:ascii="宋体" w:hAnsi="宋体" w:eastAsia="宋体" w:cs="宋体"/>
          <w:b/>
          <w:bCs/>
          <w:color w:val="auto"/>
          <w:spacing w:val="-4"/>
          <w:sz w:val="24"/>
          <w:szCs w:val="24"/>
          <w:highlight w:val="none"/>
          <w:u w:val="single"/>
          <w:lang w:eastAsia="zh-CN"/>
        </w:rPr>
        <w:t>。</w:t>
      </w:r>
    </w:p>
    <w:p w14:paraId="3AC6226A">
      <w:pPr>
        <w:spacing w:line="360" w:lineRule="auto"/>
        <w:ind w:left="3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（3）市场价格波动是否调整合同价格的约定：调整合同价格。</w:t>
      </w:r>
    </w:p>
    <w:p w14:paraId="5E2320C3">
      <w:pPr>
        <w:spacing w:line="360" w:lineRule="auto"/>
        <w:ind w:left="3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具体按下列方式进行调整：</w:t>
      </w:r>
    </w:p>
    <w:p w14:paraId="04ACB408">
      <w:pPr>
        <w:spacing w:line="360" w:lineRule="auto"/>
        <w:ind w:left="3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u w:val="single"/>
          <w:lang w:eastAsia="zh-CN"/>
        </w:rPr>
        <w:t>a、范围：商品混凝土、钢材。</w:t>
      </w:r>
    </w:p>
    <w:p w14:paraId="70834C8D">
      <w:pPr>
        <w:spacing w:line="360" w:lineRule="auto"/>
        <w:ind w:left="9" w:firstLine="376"/>
        <w:rPr>
          <w:rFonts w:hint="eastAsia" w:ascii="宋体" w:hAnsi="宋体" w:eastAsia="宋体" w:cs="宋体"/>
          <w:sz w:val="24"/>
          <w:szCs w:val="24"/>
          <w:lang w:eastAsia="zh-CN"/>
        </w:rPr>
      </w:pPr>
      <w:r>
        <w:rPr>
          <w:rFonts w:hint="eastAsia" w:ascii="宋体" w:hAnsi="宋体" w:eastAsia="宋体" w:cs="宋体"/>
          <w:color w:val="auto"/>
          <w:spacing w:val="-2"/>
          <w:sz w:val="24"/>
          <w:szCs w:val="24"/>
          <w:highlight w:val="none"/>
          <w:u w:val="single"/>
          <w:lang w:eastAsia="zh-CN"/>
        </w:rPr>
        <w:t>b、幅度：单项价格在1000元以内（含1000元</w:t>
      </w:r>
      <w:r>
        <w:rPr>
          <w:rFonts w:hint="eastAsia" w:ascii="宋体" w:hAnsi="宋体" w:eastAsia="宋体" w:cs="宋体"/>
          <w:spacing w:val="-2"/>
          <w:sz w:val="24"/>
          <w:szCs w:val="24"/>
          <w:u w:val="single"/>
          <w:lang w:eastAsia="zh-CN"/>
        </w:rPr>
        <w:t>）变动幅度超过单项价格在1</w:t>
      </w:r>
      <w:r>
        <w:rPr>
          <w:rFonts w:hint="eastAsia" w:ascii="宋体" w:hAnsi="宋体" w:eastAsia="宋体" w:cs="宋体"/>
          <w:spacing w:val="-3"/>
          <w:sz w:val="24"/>
          <w:szCs w:val="24"/>
          <w:u w:val="single"/>
          <w:lang w:eastAsia="zh-CN"/>
        </w:rPr>
        <w:t>000元以上变动</w:t>
      </w:r>
      <w:r>
        <w:rPr>
          <w:rFonts w:hint="eastAsia" w:ascii="宋体" w:hAnsi="宋体" w:eastAsia="宋体" w:cs="宋体"/>
          <w:spacing w:val="-1"/>
          <w:sz w:val="24"/>
          <w:szCs w:val="24"/>
          <w:u w:val="single"/>
          <w:lang w:eastAsia="zh-CN"/>
        </w:rPr>
        <w:t>中幅度超过5%时，对超过部分予以调整。价格上涨时，涨幅以内部分由承包人承担，涨幅以外部分由发包人承担；价格下跌时，跌幅以内部分由承包人受益，跌幅以外部分由发包人受</w:t>
      </w:r>
      <w:r>
        <w:rPr>
          <w:rFonts w:hint="eastAsia" w:ascii="宋体" w:hAnsi="宋体" w:eastAsia="宋体" w:cs="宋体"/>
          <w:spacing w:val="-3"/>
          <w:sz w:val="24"/>
          <w:szCs w:val="24"/>
          <w:u w:val="single"/>
          <w:lang w:eastAsia="zh-CN"/>
        </w:rPr>
        <w:t>益。</w:t>
      </w:r>
    </w:p>
    <w:p w14:paraId="781CBF85">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u w:val="single"/>
          <w:lang w:eastAsia="zh-CN"/>
        </w:rPr>
        <w:t>c、依据：市造价站发布的“六安市建设工程市场价格信息”。</w:t>
      </w:r>
    </w:p>
    <w:p w14:paraId="01EC4CBA">
      <w:pPr>
        <w:spacing w:line="360" w:lineRule="auto"/>
        <w:ind w:left="9" w:right="115" w:firstLine="384"/>
        <w:rPr>
          <w:rFonts w:hint="eastAsia" w:ascii="宋体" w:hAnsi="宋体" w:eastAsia="宋体" w:cs="宋体"/>
          <w:color w:val="auto"/>
          <w:sz w:val="24"/>
          <w:szCs w:val="24"/>
          <w:lang w:eastAsia="zh-CN"/>
        </w:rPr>
      </w:pPr>
      <w:r>
        <w:rPr>
          <w:rFonts w:hint="eastAsia" w:ascii="宋体" w:hAnsi="宋体" w:eastAsia="宋体" w:cs="宋体"/>
          <w:sz w:val="24"/>
          <w:szCs w:val="24"/>
          <w:u w:val="single"/>
          <w:lang w:eastAsia="zh-CN"/>
        </w:rPr>
        <w:t>d、计算方法：价格上涨时材料结算价差=材料在工程中实际使</w:t>
      </w:r>
      <w:r>
        <w:rPr>
          <w:rFonts w:hint="eastAsia" w:ascii="宋体" w:hAnsi="宋体" w:eastAsia="宋体" w:cs="宋体"/>
          <w:spacing w:val="-1"/>
          <w:sz w:val="24"/>
          <w:szCs w:val="24"/>
          <w:u w:val="single"/>
          <w:lang w:eastAsia="zh-CN"/>
        </w:rPr>
        <w:t>用月份信息价的平均值</w:t>
      </w:r>
      <w:r>
        <w:rPr>
          <w:rFonts w:hint="eastAsia" w:ascii="宋体" w:hAnsi="宋体" w:eastAsia="宋体" w:cs="宋体"/>
          <w:color w:val="auto"/>
          <w:spacing w:val="-1"/>
          <w:sz w:val="24"/>
          <w:szCs w:val="24"/>
          <w:u w:val="single"/>
          <w:lang w:eastAsia="zh-CN"/>
        </w:rPr>
        <w:t>-开标时最后一期信息价×（1+5%）</w:t>
      </w:r>
    </w:p>
    <w:p w14:paraId="61483557">
      <w:pPr>
        <w:spacing w:line="360" w:lineRule="auto"/>
        <w:ind w:left="8" w:right="10" w:firstLine="382"/>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价格下跌时材料结算价差=材料在工程中实际使用月份信息价的平均值-</w:t>
      </w:r>
      <w:r>
        <w:rPr>
          <w:rFonts w:hint="eastAsia" w:ascii="宋体" w:hAnsi="宋体" w:eastAsia="宋体" w:cs="宋体"/>
          <w:color w:val="auto"/>
          <w:spacing w:val="-1"/>
          <w:sz w:val="24"/>
          <w:szCs w:val="24"/>
          <w:u w:val="single"/>
          <w:lang w:eastAsia="zh-CN"/>
        </w:rPr>
        <w:t>开标时最后一期信息价×（1-5%）。</w:t>
      </w:r>
    </w:p>
    <w:p w14:paraId="2A33262C">
      <w:pPr>
        <w:spacing w:line="360" w:lineRule="auto"/>
        <w:ind w:left="394"/>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e、以上因材料价格变化调整的费用，只计</w:t>
      </w:r>
      <w:r>
        <w:rPr>
          <w:rFonts w:hint="eastAsia" w:ascii="宋体" w:hAnsi="宋体" w:eastAsia="宋体" w:cs="宋体"/>
          <w:color w:val="auto"/>
          <w:spacing w:val="-1"/>
          <w:sz w:val="24"/>
          <w:szCs w:val="24"/>
          <w:u w:val="single"/>
          <w:lang w:eastAsia="zh-CN"/>
        </w:rPr>
        <w:t>取税金，不计其它费用。</w:t>
      </w:r>
    </w:p>
    <w:p w14:paraId="074C2F1E">
      <w:pPr>
        <w:tabs>
          <w:tab w:val="left" w:pos="118"/>
        </w:tabs>
        <w:spacing w:line="360" w:lineRule="auto"/>
        <w:ind w:firstLine="391"/>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u w:val="single"/>
          <w:lang w:eastAsia="zh-CN"/>
        </w:rPr>
        <w:t>符合本款调差规定的，承包人在实际使用月份信息价发布后7天内，就材料价差调整情况</w:t>
      </w:r>
      <w:r>
        <w:rPr>
          <w:rFonts w:hint="eastAsia" w:ascii="宋体" w:hAnsi="宋体" w:eastAsia="宋体" w:cs="宋体"/>
          <w:color w:val="auto"/>
          <w:sz w:val="24"/>
          <w:szCs w:val="24"/>
          <w:u w:val="single"/>
          <w:lang w:eastAsia="zh-CN"/>
        </w:rPr>
        <w:tab/>
      </w:r>
      <w:r>
        <w:rPr>
          <w:rFonts w:hint="eastAsia" w:ascii="宋体" w:hAnsi="宋体" w:eastAsia="宋体" w:cs="宋体"/>
          <w:color w:val="auto"/>
          <w:spacing w:val="-4"/>
          <w:sz w:val="24"/>
          <w:szCs w:val="24"/>
          <w:u w:val="single"/>
          <w:lang w:eastAsia="zh-CN"/>
        </w:rPr>
        <w:t>（包含相关证明材料）向监理人、发包人递交书面申请（逾期不申请的视为承包人自动放弃</w:t>
      </w:r>
      <w:r>
        <w:rPr>
          <w:rFonts w:hint="eastAsia" w:ascii="宋体" w:hAnsi="宋体" w:eastAsia="宋体" w:cs="宋体"/>
          <w:color w:val="auto"/>
          <w:sz w:val="24"/>
          <w:szCs w:val="24"/>
          <w:u w:val="single"/>
          <w:lang w:eastAsia="zh-CN"/>
        </w:rPr>
        <w:t>材料价差调整资格</w:t>
      </w:r>
      <w:r>
        <w:rPr>
          <w:rFonts w:hint="eastAsia" w:ascii="宋体" w:hAnsi="宋体" w:eastAsia="宋体" w:cs="宋体"/>
          <w:color w:val="auto"/>
          <w:spacing w:val="-4"/>
          <w:sz w:val="24"/>
          <w:szCs w:val="24"/>
          <w:u w:val="single"/>
          <w:lang w:eastAsia="zh-CN"/>
        </w:rPr>
        <w:t>），</w:t>
      </w:r>
      <w:r>
        <w:rPr>
          <w:rFonts w:hint="eastAsia" w:ascii="宋体" w:hAnsi="宋体" w:eastAsia="宋体" w:cs="宋体"/>
          <w:color w:val="auto"/>
          <w:sz w:val="24"/>
          <w:szCs w:val="24"/>
          <w:u w:val="single"/>
          <w:lang w:eastAsia="zh-CN"/>
        </w:rPr>
        <w:t>监理人集中相关证据后签</w:t>
      </w:r>
      <w:r>
        <w:rPr>
          <w:rFonts w:hint="eastAsia" w:ascii="宋体" w:hAnsi="宋体" w:eastAsia="宋体" w:cs="宋体"/>
          <w:color w:val="auto"/>
          <w:spacing w:val="-1"/>
          <w:sz w:val="24"/>
          <w:szCs w:val="24"/>
          <w:u w:val="single"/>
          <w:lang w:eastAsia="zh-CN"/>
        </w:rPr>
        <w:t>署意见，送发包人审核，发包人在收到经监</w:t>
      </w:r>
      <w:r>
        <w:rPr>
          <w:rFonts w:hint="eastAsia" w:ascii="宋体" w:hAnsi="宋体" w:eastAsia="宋体" w:cs="宋体"/>
          <w:color w:val="auto"/>
          <w:sz w:val="24"/>
          <w:szCs w:val="24"/>
          <w:u w:val="single"/>
          <w:lang w:eastAsia="zh-CN"/>
        </w:rPr>
        <w:t>理人签署的报告后7天内予以确认、答复，逾期不予答复，承包方即可视为材料价差调整要求已被确认。</w:t>
      </w:r>
    </w:p>
    <w:p w14:paraId="10B8502B">
      <w:pPr>
        <w:spacing w:line="360" w:lineRule="auto"/>
        <w:ind w:left="10" w:firstLine="394"/>
        <w:jc w:val="both"/>
        <w:rPr>
          <w:rFonts w:hint="eastAsia" w:ascii="宋体" w:hAnsi="宋体" w:eastAsia="宋体" w:cs="宋体"/>
          <w:sz w:val="24"/>
          <w:szCs w:val="24"/>
          <w:lang w:eastAsia="zh-CN"/>
        </w:rPr>
      </w:pPr>
      <w:r>
        <w:rPr>
          <w:rFonts w:hint="eastAsia" w:ascii="宋体" w:hAnsi="宋体" w:eastAsia="宋体" w:cs="宋体"/>
          <w:color w:val="auto"/>
          <w:spacing w:val="-3"/>
          <w:sz w:val="24"/>
          <w:szCs w:val="24"/>
          <w:lang w:eastAsia="zh-CN"/>
        </w:rPr>
        <w:t>14.1.3按实际完成的工程量支付工程价款的计量方法、估价方法：</w:t>
      </w:r>
      <w:r>
        <w:rPr>
          <w:rFonts w:hint="eastAsia" w:ascii="宋体" w:hAnsi="宋体" w:eastAsia="宋体" w:cs="宋体"/>
          <w:color w:val="auto"/>
          <w:spacing w:val="-3"/>
          <w:sz w:val="24"/>
          <w:szCs w:val="24"/>
          <w:u w:val="single"/>
          <w:lang w:eastAsia="zh-CN"/>
        </w:rPr>
        <w:t>承包人按发包人确认</w:t>
      </w:r>
      <w:r>
        <w:rPr>
          <w:rFonts w:hint="eastAsia" w:ascii="宋体" w:hAnsi="宋体" w:eastAsia="宋体" w:cs="宋体"/>
          <w:color w:val="auto"/>
          <w:spacing w:val="-1"/>
          <w:sz w:val="24"/>
          <w:szCs w:val="24"/>
          <w:u w:val="single"/>
          <w:lang w:eastAsia="zh-CN"/>
        </w:rPr>
        <w:t>的施工图设计文件编制施工图预算，经发包人审核。本项目造价依据国家及2018年版安徽省建设工程计价依据以及六安市的信息价等相关规定进行编制。按开标时最后一期</w:t>
      </w:r>
      <w:r>
        <w:rPr>
          <w:rFonts w:hint="eastAsia" w:ascii="宋体" w:hAnsi="宋体" w:eastAsia="宋体" w:cs="宋体"/>
          <w:spacing w:val="-1"/>
          <w:sz w:val="24"/>
          <w:szCs w:val="24"/>
          <w:u w:val="single"/>
          <w:lang w:eastAsia="zh-CN"/>
        </w:rPr>
        <w:t>《六安市建设工程造价》发布的六安市霍邱县信息价，霍邱县没有的，参考六安市的信息价格，六</w:t>
      </w:r>
      <w:r>
        <w:rPr>
          <w:rFonts w:hint="eastAsia" w:ascii="宋体" w:hAnsi="宋体" w:eastAsia="宋体" w:cs="宋体"/>
          <w:spacing w:val="-2"/>
          <w:sz w:val="24"/>
          <w:szCs w:val="24"/>
          <w:u w:val="single"/>
          <w:lang w:eastAsia="zh-CN"/>
        </w:rPr>
        <w:t>安市</w:t>
      </w:r>
      <w:r>
        <w:rPr>
          <w:rFonts w:hint="eastAsia" w:ascii="宋体" w:hAnsi="宋体" w:eastAsia="宋体" w:cs="宋体"/>
          <w:spacing w:val="-1"/>
          <w:sz w:val="24"/>
          <w:szCs w:val="24"/>
          <w:u w:val="single"/>
          <w:lang w:eastAsia="zh-CN"/>
        </w:rPr>
        <w:t>没有的参考合肥市的信息价格，合肥市没有的参考周边地区的信息价格，信息价上没有的材料设备由招标人会同相关部门组建询价小组认质定价。不能达成一致的，招标人有最终确定权，询价部分均纳入费用参与下浮。</w:t>
      </w:r>
    </w:p>
    <w:p w14:paraId="09E832ED">
      <w:pPr>
        <w:spacing w:line="360" w:lineRule="auto"/>
        <w:ind w:firstLine="382"/>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u w:val="single"/>
          <w:lang w:eastAsia="zh-CN"/>
        </w:rPr>
        <w:t>注</w:t>
      </w:r>
      <w:r>
        <w:rPr>
          <w:rFonts w:hint="eastAsia" w:ascii="宋体" w:hAnsi="宋体" w:eastAsia="宋体" w:cs="宋体"/>
          <w:spacing w:val="-33"/>
          <w:sz w:val="24"/>
          <w:szCs w:val="24"/>
          <w:highlight w:val="none"/>
          <w:u w:val="single"/>
          <w:lang w:eastAsia="zh-CN"/>
        </w:rPr>
        <w:t>：（</w:t>
      </w:r>
      <w:r>
        <w:rPr>
          <w:rFonts w:hint="eastAsia" w:ascii="宋体" w:hAnsi="宋体" w:eastAsia="宋体" w:cs="宋体"/>
          <w:spacing w:val="-1"/>
          <w:sz w:val="24"/>
          <w:szCs w:val="24"/>
          <w:highlight w:val="none"/>
          <w:u w:val="single"/>
          <w:lang w:eastAsia="zh-CN"/>
        </w:rPr>
        <w:t>1）承包人完成施工图设计，经发包人或发包人委托的具备相应资质的第三方中介机构进行合理性评审后（该合理性评审不减轻原设计责任</w:t>
      </w:r>
      <w:r>
        <w:rPr>
          <w:rFonts w:hint="eastAsia" w:ascii="宋体" w:hAnsi="宋体" w:eastAsia="宋体" w:cs="宋体"/>
          <w:spacing w:val="1"/>
          <w:sz w:val="24"/>
          <w:szCs w:val="24"/>
          <w:highlight w:val="none"/>
          <w:u w:val="single"/>
          <w:lang w:eastAsia="zh-CN"/>
        </w:rPr>
        <w:t>），</w:t>
      </w:r>
      <w:r>
        <w:rPr>
          <w:rFonts w:hint="eastAsia" w:ascii="宋体" w:hAnsi="宋体" w:eastAsia="宋体" w:cs="宋体"/>
          <w:spacing w:val="-1"/>
          <w:sz w:val="24"/>
          <w:szCs w:val="24"/>
          <w:highlight w:val="none"/>
          <w:u w:val="single"/>
          <w:lang w:eastAsia="zh-CN"/>
        </w:rPr>
        <w:t>方可进行施工图审查工作。各</w:t>
      </w:r>
      <w:r>
        <w:rPr>
          <w:rFonts w:hint="eastAsia" w:ascii="宋体" w:hAnsi="宋体" w:eastAsia="宋体" w:cs="宋体"/>
          <w:spacing w:val="-1"/>
          <w:sz w:val="24"/>
          <w:szCs w:val="24"/>
          <w:highlight w:val="none"/>
          <w:lang w:eastAsia="zh-CN"/>
        </w:rPr>
        <w:t>子项目图纸确定后，由发包人委托</w:t>
      </w:r>
      <w:r>
        <w:rPr>
          <w:rFonts w:hint="eastAsia" w:ascii="宋体" w:hAnsi="宋体" w:eastAsia="宋体" w:cs="宋体"/>
          <w:color w:val="auto"/>
          <w:spacing w:val="-1"/>
          <w:sz w:val="24"/>
          <w:szCs w:val="24"/>
          <w:highlight w:val="none"/>
          <w:lang w:eastAsia="zh-CN"/>
        </w:rPr>
        <w:t>第三方跟踪审计单位依据施工图纸及招标范围编制的预算价，并报发包人审核通过后，形成各子项目最终经审核的预算价，经第三方跟踪审</w:t>
      </w:r>
      <w:r>
        <w:rPr>
          <w:rFonts w:hint="eastAsia" w:ascii="宋体" w:hAnsi="宋体" w:eastAsia="宋体" w:cs="宋体"/>
          <w:spacing w:val="-1"/>
          <w:sz w:val="24"/>
          <w:szCs w:val="24"/>
          <w:highlight w:val="none"/>
          <w:lang w:eastAsia="zh-CN"/>
        </w:rPr>
        <w:t>计单位最后核定，各子项目预算价合计形成本项</w:t>
      </w:r>
      <w:r>
        <w:rPr>
          <w:rFonts w:hint="eastAsia" w:ascii="宋体" w:hAnsi="宋体" w:eastAsia="宋体" w:cs="宋体"/>
          <w:spacing w:val="-1"/>
          <w:sz w:val="24"/>
          <w:szCs w:val="24"/>
          <w:highlight w:val="none"/>
          <w:u w:val="single"/>
          <w:lang w:eastAsia="zh-CN"/>
        </w:rPr>
        <w:t>目总预算价。</w:t>
      </w:r>
    </w:p>
    <w:p w14:paraId="2BF67582">
      <w:pPr>
        <w:tabs>
          <w:tab w:val="left" w:pos="492"/>
        </w:tabs>
        <w:spacing w:line="360" w:lineRule="auto"/>
        <w:ind w:left="1" w:right="13" w:firstLine="372"/>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u w:val="single"/>
          <w:lang w:eastAsia="zh-CN"/>
        </w:rPr>
        <w:t>（2）本项目功能性检测或测试费用均由承包人承担，在报价时综合考虑，发包人不额外</w:t>
      </w:r>
      <w:r>
        <w:rPr>
          <w:rFonts w:hint="eastAsia" w:ascii="宋体" w:hAnsi="宋体" w:eastAsia="宋体" w:cs="宋体"/>
          <w:spacing w:val="-2"/>
          <w:sz w:val="24"/>
          <w:szCs w:val="24"/>
          <w:highlight w:val="none"/>
          <w:u w:val="single"/>
          <w:lang w:eastAsia="zh-CN"/>
        </w:rPr>
        <w:t>支付费用。</w:t>
      </w:r>
    </w:p>
    <w:p w14:paraId="2906B3AD">
      <w:pPr>
        <w:tabs>
          <w:tab w:val="left" w:pos="492"/>
        </w:tabs>
        <w:spacing w:line="360" w:lineRule="auto"/>
        <w:ind w:left="1" w:right="13" w:firstLine="372"/>
        <w:rPr>
          <w:rFonts w:hint="eastAsia" w:ascii="宋体" w:hAnsi="宋体" w:eastAsia="宋体" w:cs="宋体"/>
          <w:spacing w:val="-6"/>
          <w:sz w:val="24"/>
          <w:szCs w:val="24"/>
          <w:highlight w:val="none"/>
          <w:u w:val="single"/>
          <w:lang w:eastAsia="zh-CN"/>
        </w:rPr>
      </w:pPr>
      <w:r>
        <w:rPr>
          <w:rFonts w:hint="eastAsia" w:ascii="宋体" w:hAnsi="宋体" w:eastAsia="宋体" w:cs="宋体"/>
          <w:spacing w:val="-6"/>
          <w:sz w:val="24"/>
          <w:szCs w:val="24"/>
          <w:highlight w:val="none"/>
          <w:u w:val="single"/>
          <w:lang w:eastAsia="zh-CN"/>
        </w:rPr>
        <w:t>（3）因承包人原因造成的变更由承包人自行承担（发包人要求调整或变更的除外）。</w:t>
      </w:r>
    </w:p>
    <w:p w14:paraId="0127B736">
      <w:pPr>
        <w:spacing w:line="360" w:lineRule="auto"/>
        <w:ind w:left="3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14.1.4法律变化引起的调整</w:t>
      </w:r>
    </w:p>
    <w:p w14:paraId="6BAC5168">
      <w:pPr>
        <w:spacing w:line="360" w:lineRule="auto"/>
        <w:ind w:left="3" w:right="21" w:firstLine="39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1、国家法律、法规、规章和政策发生变化；2、省级或行业建设主管部门或工程造价管理机构发布的人工费调整或其他造价调整，以上变化可调整合同价格。</w:t>
      </w:r>
    </w:p>
    <w:p w14:paraId="4CBBE4DD">
      <w:pPr>
        <w:spacing w:line="360" w:lineRule="auto"/>
        <w:ind w:left="397"/>
        <w:outlineLvl w:val="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14.2预付款</w:t>
      </w:r>
    </w:p>
    <w:p w14:paraId="5F47CED2">
      <w:pPr>
        <w:spacing w:line="360" w:lineRule="auto"/>
        <w:ind w:left="397"/>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14.2.1预付款支付</w:t>
      </w:r>
    </w:p>
    <w:p w14:paraId="60D634A4">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预付款的金额或比例为：</w:t>
      </w:r>
      <w:r>
        <w:rPr>
          <w:rFonts w:hint="eastAsia" w:ascii="宋体" w:hAnsi="宋体" w:eastAsia="宋体" w:cs="宋体"/>
          <w:spacing w:val="1"/>
          <w:sz w:val="24"/>
          <w:szCs w:val="24"/>
          <w:u w:val="single"/>
          <w:lang w:eastAsia="zh-CN"/>
        </w:rPr>
        <w:t>中标费率折算后的工</w:t>
      </w:r>
      <w:r>
        <w:rPr>
          <w:rFonts w:hint="eastAsia" w:ascii="宋体" w:hAnsi="宋体" w:eastAsia="宋体" w:cs="宋体"/>
          <w:sz w:val="24"/>
          <w:szCs w:val="24"/>
          <w:u w:val="single"/>
          <w:lang w:eastAsia="zh-CN"/>
        </w:rPr>
        <w:t>程费用的30%。</w:t>
      </w:r>
    </w:p>
    <w:p w14:paraId="14AE5611">
      <w:pPr>
        <w:spacing w:line="360" w:lineRule="auto"/>
        <w:ind w:left="384"/>
        <w:rPr>
          <w:rFonts w:hint="eastAsia" w:ascii="宋体" w:hAnsi="宋体" w:eastAsia="宋体" w:cs="宋体"/>
          <w:sz w:val="24"/>
          <w:szCs w:val="24"/>
          <w:lang w:eastAsia="zh-CN"/>
        </w:rPr>
      </w:pPr>
      <w:r>
        <w:rPr>
          <w:rFonts w:hint="eastAsia" w:ascii="宋体" w:hAnsi="宋体" w:eastAsia="宋体" w:cs="宋体"/>
          <w:sz w:val="24"/>
          <w:szCs w:val="24"/>
          <w:lang w:eastAsia="zh-CN"/>
        </w:rPr>
        <w:t>预付款扣回的方式：</w:t>
      </w:r>
      <w:r>
        <w:rPr>
          <w:rFonts w:hint="eastAsia" w:ascii="宋体" w:hAnsi="宋体" w:eastAsia="宋体" w:cs="宋体"/>
          <w:sz w:val="24"/>
          <w:szCs w:val="24"/>
          <w:u w:val="single"/>
          <w:lang w:eastAsia="zh-CN"/>
        </w:rPr>
        <w:t>预付款在进度款支付时</w:t>
      </w:r>
      <w:r>
        <w:rPr>
          <w:rFonts w:hint="eastAsia" w:ascii="宋体" w:hAnsi="宋体" w:eastAsia="宋体" w:cs="宋体"/>
          <w:spacing w:val="-1"/>
          <w:sz w:val="24"/>
          <w:szCs w:val="24"/>
          <w:u w:val="single"/>
          <w:lang w:eastAsia="zh-CN"/>
        </w:rPr>
        <w:t>分两次扣回。</w:t>
      </w:r>
    </w:p>
    <w:p w14:paraId="7F287F85">
      <w:pPr>
        <w:spacing w:line="360" w:lineRule="auto"/>
        <w:ind w:left="397"/>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14.2.2预付款担保</w:t>
      </w:r>
    </w:p>
    <w:p w14:paraId="4FB11E1B">
      <w:pPr>
        <w:spacing w:line="360" w:lineRule="auto"/>
        <w:ind w:left="383"/>
        <w:rPr>
          <w:rFonts w:hint="eastAsia" w:ascii="宋体" w:hAnsi="宋体" w:eastAsia="宋体" w:cs="宋体"/>
          <w:sz w:val="24"/>
          <w:szCs w:val="24"/>
          <w:lang w:eastAsia="zh-CN"/>
        </w:rPr>
      </w:pPr>
      <w:r>
        <w:rPr>
          <w:rFonts w:hint="eastAsia" w:ascii="宋体" w:hAnsi="宋体" w:eastAsia="宋体" w:cs="宋体"/>
          <w:sz w:val="24"/>
          <w:szCs w:val="24"/>
          <w:lang w:eastAsia="zh-CN"/>
        </w:rPr>
        <w:t>提供预付款担保期限：</w:t>
      </w:r>
      <w:r>
        <w:rPr>
          <w:rFonts w:hint="eastAsia" w:ascii="宋体" w:hAnsi="宋体" w:eastAsia="宋体" w:cs="宋体"/>
          <w:sz w:val="24"/>
          <w:szCs w:val="24"/>
          <w:u w:val="single"/>
          <w:lang w:eastAsia="zh-CN"/>
        </w:rPr>
        <w:t>签订工程总承包合同后支付预</w:t>
      </w:r>
      <w:r>
        <w:rPr>
          <w:rFonts w:hint="eastAsia" w:ascii="宋体" w:hAnsi="宋体" w:eastAsia="宋体" w:cs="宋体"/>
          <w:spacing w:val="-1"/>
          <w:sz w:val="24"/>
          <w:szCs w:val="24"/>
          <w:u w:val="single"/>
          <w:lang w:eastAsia="zh-CN"/>
        </w:rPr>
        <w:t>付款前。</w:t>
      </w:r>
    </w:p>
    <w:p w14:paraId="58DCD756">
      <w:pPr>
        <w:spacing w:line="360" w:lineRule="auto"/>
        <w:ind w:left="384"/>
        <w:rPr>
          <w:rFonts w:hint="eastAsia" w:ascii="宋体" w:hAnsi="宋体" w:eastAsia="宋体" w:cs="宋体"/>
          <w:sz w:val="24"/>
          <w:szCs w:val="24"/>
          <w:lang w:eastAsia="zh-CN"/>
        </w:rPr>
      </w:pPr>
      <w:r>
        <w:rPr>
          <w:rFonts w:hint="eastAsia" w:ascii="宋体" w:hAnsi="宋体" w:eastAsia="宋体" w:cs="宋体"/>
          <w:sz w:val="24"/>
          <w:szCs w:val="24"/>
          <w:lang w:eastAsia="zh-CN"/>
        </w:rPr>
        <w:t>预付款担保形式：</w:t>
      </w:r>
      <w:r>
        <w:rPr>
          <w:rFonts w:hint="eastAsia" w:ascii="宋体" w:hAnsi="宋体" w:eastAsia="宋体" w:cs="宋体"/>
          <w:sz w:val="24"/>
          <w:szCs w:val="24"/>
          <w:u w:val="single"/>
          <w:lang w:eastAsia="zh-CN"/>
        </w:rPr>
        <w:t>承包人开户银行基本账户出县的见索即付</w:t>
      </w:r>
      <w:r>
        <w:rPr>
          <w:rFonts w:hint="eastAsia" w:ascii="宋体" w:hAnsi="宋体" w:eastAsia="宋体" w:cs="宋体"/>
          <w:spacing w:val="-1"/>
          <w:sz w:val="24"/>
          <w:szCs w:val="24"/>
          <w:u w:val="single"/>
          <w:lang w:eastAsia="zh-CN"/>
        </w:rPr>
        <w:t>的银行保函。</w:t>
      </w:r>
    </w:p>
    <w:p w14:paraId="2B3DDCCE">
      <w:pPr>
        <w:spacing w:line="360" w:lineRule="auto"/>
        <w:ind w:left="397"/>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14.3工程进度款</w:t>
      </w:r>
    </w:p>
    <w:p w14:paraId="7F4C8726">
      <w:pPr>
        <w:spacing w:line="360" w:lineRule="auto"/>
        <w:ind w:left="397"/>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14.3.1工程进度付款申请</w:t>
      </w:r>
    </w:p>
    <w:p w14:paraId="35E9C57A">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工程进度付款申请方式：</w:t>
      </w:r>
      <w:r>
        <w:rPr>
          <w:rFonts w:hint="eastAsia" w:ascii="宋体" w:hAnsi="宋体" w:eastAsia="宋体" w:cs="宋体"/>
          <w:spacing w:val="-1"/>
          <w:sz w:val="24"/>
          <w:szCs w:val="24"/>
          <w:u w:val="single"/>
          <w:lang w:eastAsia="zh-CN"/>
        </w:rPr>
        <w:t>按发包人要求</w:t>
      </w:r>
    </w:p>
    <w:p w14:paraId="644998C8">
      <w:pPr>
        <w:spacing w:line="360" w:lineRule="auto"/>
        <w:ind w:left="397"/>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14.3.2进度付款审核和支付</w:t>
      </w:r>
    </w:p>
    <w:p w14:paraId="76772B16">
      <w:pPr>
        <w:pStyle w:val="3"/>
        <w:spacing w:line="360" w:lineRule="auto"/>
        <w:ind w:left="4" w:right="13" w:firstLine="38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u w:val="single"/>
          <w:lang w:eastAsia="zh-CN"/>
        </w:rPr>
        <w:t>设计费支付的约定</w:t>
      </w:r>
      <w:r>
        <w:rPr>
          <w:rFonts w:hint="eastAsia" w:ascii="宋体" w:hAnsi="宋体" w:eastAsia="宋体" w:cs="宋体"/>
          <w:color w:val="auto"/>
          <w:sz w:val="24"/>
          <w:szCs w:val="24"/>
          <w:highlight w:val="none"/>
          <w:u w:val="single"/>
          <w:lang w:eastAsia="zh-CN"/>
        </w:rPr>
        <w:t>：本项目设计费用包含在工程费投标报价（费率）中，不再另行计取。如为联合体投标的，本工程设计费由联合体牵头方支付给负责设计任务的成员方，联合体双方需在联合体协议中自行明确设计费的金额及支付节点等，各投标人充分考虑在投标报价（百分比）内，后续招标人不另行计算及支付。</w:t>
      </w:r>
    </w:p>
    <w:p w14:paraId="54BCE38D">
      <w:pPr>
        <w:pStyle w:val="3"/>
        <w:spacing w:line="360" w:lineRule="auto"/>
        <w:ind w:firstLine="384"/>
        <w:jc w:val="both"/>
        <w:rPr>
          <w:rFonts w:hint="eastAsia" w:ascii="宋体" w:hAnsi="宋体" w:eastAsia="宋体" w:cs="宋体"/>
          <w:spacing w:val="-1"/>
          <w:sz w:val="24"/>
          <w:szCs w:val="24"/>
          <w:highlight w:val="none"/>
          <w:u w:val="single"/>
          <w:lang w:eastAsia="zh-CN"/>
        </w:rPr>
      </w:pPr>
      <w:r>
        <w:rPr>
          <w:rFonts w:hint="eastAsia" w:ascii="宋体" w:hAnsi="宋体" w:eastAsia="宋体" w:cs="宋体"/>
          <w:spacing w:val="-3"/>
          <w:sz w:val="24"/>
          <w:szCs w:val="24"/>
          <w:highlight w:val="none"/>
          <w:lang w:eastAsia="zh-CN"/>
        </w:rPr>
        <w:t>工程费用进度付款的审核方式和支付的约定</w:t>
      </w:r>
      <w:r>
        <w:rPr>
          <w:rFonts w:hint="eastAsia" w:ascii="宋体" w:hAnsi="宋体" w:eastAsia="宋体" w:cs="宋体"/>
          <w:spacing w:val="-3"/>
          <w:sz w:val="24"/>
          <w:szCs w:val="24"/>
          <w:highlight w:val="none"/>
          <w:u w:val="single"/>
          <w:lang w:eastAsia="zh-CN"/>
        </w:rPr>
        <w:t>：本项目预付款为费率折算后工程费用的30%</w:t>
      </w:r>
      <w:r>
        <w:rPr>
          <w:rFonts w:hint="eastAsia" w:ascii="宋体" w:hAnsi="宋体" w:eastAsia="宋体" w:cs="宋体"/>
          <w:spacing w:val="-2"/>
          <w:sz w:val="24"/>
          <w:szCs w:val="24"/>
          <w:highlight w:val="none"/>
          <w:u w:val="single"/>
          <w:lang w:eastAsia="zh-CN"/>
        </w:rPr>
        <w:t>,发包人和监理人、第三方跟审单位共同审查并确认的工程月进度计量报表中完成的实际工</w:t>
      </w:r>
      <w:r>
        <w:rPr>
          <w:rFonts w:hint="eastAsia" w:ascii="宋体" w:hAnsi="宋体" w:eastAsia="宋体" w:cs="宋体"/>
          <w:spacing w:val="-1"/>
          <w:sz w:val="24"/>
          <w:szCs w:val="24"/>
          <w:highlight w:val="none"/>
          <w:u w:val="single"/>
          <w:lang w:eastAsia="zh-CN"/>
        </w:rPr>
        <w:t>程量价款的90%支付，竣工备案并完成结算审定后付至最终结算价款的98%，余款2%作为质量保证金（若承包人采用银行保函、保证保险方式等方式缴纳工程质量保证金的，在承包人提交工程造价2%的质量保证金后支付至100%</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1"/>
          <w:sz w:val="24"/>
          <w:szCs w:val="24"/>
          <w:highlight w:val="none"/>
          <w:u w:val="single"/>
          <w:lang w:eastAsia="zh-CN"/>
        </w:rPr>
        <w:t>待工程无质量问题，缺陷责任期满后，承包人书面申请，经发包人审核后，将相应金额的质量保证金返还给承包人或解除承包人的担保保函，但并不免除承包人在质保期内的保修责任。发包人每次向承包人支付款项时，承包人需同时向发包人提供等额的增值税专用发票。（本项目涉及的包括自检等全部</w:t>
      </w:r>
      <w:r>
        <w:rPr>
          <w:rFonts w:hint="eastAsia" w:ascii="宋体" w:hAnsi="宋体" w:eastAsia="宋体" w:cs="宋体"/>
          <w:spacing w:val="-2"/>
          <w:sz w:val="24"/>
          <w:szCs w:val="24"/>
          <w:highlight w:val="none"/>
          <w:u w:val="single"/>
          <w:lang w:eastAsia="zh-CN"/>
        </w:rPr>
        <w:t>工作内容费用</w:t>
      </w:r>
      <w:r>
        <w:rPr>
          <w:rFonts w:hint="eastAsia" w:ascii="宋体" w:hAnsi="宋体" w:eastAsia="宋体" w:cs="宋体"/>
          <w:sz w:val="24"/>
          <w:szCs w:val="24"/>
          <w:highlight w:val="none"/>
          <w:u w:val="single"/>
          <w:lang w:eastAsia="zh-CN"/>
        </w:rPr>
        <w:t>均包含在工程费用中，发包人不再另行支付</w:t>
      </w:r>
      <w:r>
        <w:rPr>
          <w:rFonts w:hint="eastAsia" w:ascii="宋体" w:hAnsi="宋体" w:eastAsia="宋体" w:cs="宋体"/>
          <w:spacing w:val="-1"/>
          <w:sz w:val="24"/>
          <w:szCs w:val="24"/>
          <w:highlight w:val="none"/>
          <w:u w:val="single"/>
          <w:lang w:eastAsia="zh-CN"/>
        </w:rPr>
        <w:t>其他费用。）</w:t>
      </w:r>
    </w:p>
    <w:p w14:paraId="6D727C1A">
      <w:pPr>
        <w:pStyle w:val="3"/>
        <w:spacing w:line="360" w:lineRule="auto"/>
        <w:ind w:firstLine="384"/>
        <w:jc w:val="both"/>
        <w:rPr>
          <w:rFonts w:hint="eastAsia" w:ascii="宋体" w:hAnsi="宋体" w:eastAsia="宋体" w:cs="宋体"/>
          <w:spacing w:val="-3"/>
          <w:sz w:val="24"/>
          <w:szCs w:val="24"/>
          <w:highlight w:val="none"/>
          <w:u w:val="single"/>
          <w:lang w:eastAsia="zh-CN"/>
        </w:rPr>
      </w:pPr>
      <w:r>
        <w:rPr>
          <w:rFonts w:hint="eastAsia" w:ascii="宋体" w:hAnsi="宋体" w:eastAsia="宋体" w:cs="宋体"/>
          <w:spacing w:val="-3"/>
          <w:sz w:val="24"/>
          <w:szCs w:val="24"/>
          <w:highlight w:val="none"/>
          <w:u w:val="single"/>
          <w:lang w:eastAsia="zh-CN"/>
        </w:rPr>
        <w:t>绩效考核费用进度付款的审核方式和支付的约定：考核期2年，考核期间产生的费用全由乙方负责，自负盈亏。每年甲方对乙方进行绩效考核，待考核期结束后且经甲方考核均为合格后，甲方以每年200万元的固定费用支付给乙方（每年200万元固定费用</w:t>
      </w:r>
      <w:r>
        <w:rPr>
          <w:rFonts w:hint="eastAsia" w:ascii="宋体" w:hAnsi="宋体" w:eastAsia="宋体" w:cs="宋体"/>
          <w:spacing w:val="-3"/>
          <w:sz w:val="24"/>
          <w:szCs w:val="24"/>
          <w:highlight w:val="none"/>
          <w:u w:val="single"/>
          <w:lang w:val="en-US" w:eastAsia="zh-CN"/>
        </w:rPr>
        <w:t>不含在本项目投标报价内，由发包人另行支付</w:t>
      </w:r>
      <w:r>
        <w:rPr>
          <w:rFonts w:hint="eastAsia" w:ascii="宋体" w:hAnsi="宋体" w:eastAsia="宋体" w:cs="宋体"/>
          <w:spacing w:val="-3"/>
          <w:sz w:val="24"/>
          <w:szCs w:val="24"/>
          <w:highlight w:val="none"/>
          <w:u w:val="single"/>
          <w:lang w:eastAsia="zh-CN"/>
        </w:rPr>
        <w:t>）。</w:t>
      </w:r>
    </w:p>
    <w:p w14:paraId="5C0FD027">
      <w:pPr>
        <w:spacing w:line="360" w:lineRule="auto"/>
        <w:ind w:left="384"/>
        <w:rPr>
          <w:rFonts w:hint="eastAsia" w:ascii="宋体" w:hAnsi="宋体" w:eastAsia="宋体" w:cs="宋体"/>
          <w:color w:val="auto"/>
          <w:spacing w:val="-3"/>
          <w:sz w:val="24"/>
          <w:szCs w:val="24"/>
          <w:highlight w:val="none"/>
          <w:u w:val="single"/>
          <w:lang w:eastAsia="zh-CN"/>
        </w:rPr>
      </w:pPr>
      <w:r>
        <w:rPr>
          <w:rFonts w:hint="eastAsia" w:ascii="宋体" w:hAnsi="宋体" w:eastAsia="宋体" w:cs="宋体"/>
          <w:b/>
          <w:bCs/>
          <w:color w:val="auto"/>
          <w:spacing w:val="-1"/>
          <w:sz w:val="24"/>
          <w:szCs w:val="24"/>
          <w:highlight w:val="none"/>
          <w:u w:val="single"/>
          <w:lang w:eastAsia="zh-CN"/>
        </w:rPr>
        <w:t>特别说明：发包人可以支付进度款给任一联合体组成单位。</w:t>
      </w:r>
    </w:p>
    <w:p w14:paraId="65B158C9">
      <w:pPr>
        <w:spacing w:line="360" w:lineRule="auto"/>
        <w:ind w:firstLine="384"/>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发包人应在进度款支付证书或临时进度款支付证书签发后的</w:t>
      </w:r>
      <w:r>
        <w:rPr>
          <w:rFonts w:hint="eastAsia" w:ascii="宋体" w:hAnsi="宋体" w:eastAsia="宋体" w:cs="宋体"/>
          <w:spacing w:val="-3"/>
          <w:sz w:val="24"/>
          <w:szCs w:val="24"/>
          <w:highlight w:val="none"/>
          <w:u w:val="single"/>
          <w:lang w:eastAsia="zh-CN"/>
        </w:rPr>
        <w:t>7</w:t>
      </w:r>
      <w:r>
        <w:rPr>
          <w:rFonts w:hint="eastAsia" w:ascii="宋体" w:hAnsi="宋体" w:eastAsia="宋体" w:cs="宋体"/>
          <w:spacing w:val="-3"/>
          <w:sz w:val="24"/>
          <w:szCs w:val="24"/>
          <w:highlight w:val="none"/>
          <w:lang w:eastAsia="zh-CN"/>
        </w:rPr>
        <w:t>天内完成支付，发包人逾期</w:t>
      </w:r>
      <w:r>
        <w:rPr>
          <w:rFonts w:hint="eastAsia" w:ascii="宋体" w:hAnsi="宋体" w:eastAsia="宋体" w:cs="宋体"/>
          <w:spacing w:val="-2"/>
          <w:sz w:val="24"/>
          <w:szCs w:val="24"/>
          <w:highlight w:val="none"/>
          <w:lang w:eastAsia="zh-CN"/>
        </w:rPr>
        <w:t>支付进度款的，应按照</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lang w:eastAsia="zh-CN"/>
        </w:rPr>
        <w:t>支付违约金。</w:t>
      </w:r>
    </w:p>
    <w:p w14:paraId="5FA7F115">
      <w:pPr>
        <w:jc w:val="center"/>
        <w:rPr>
          <w:rStyle w:val="47"/>
          <w:sz w:val="36"/>
          <w:szCs w:val="28"/>
          <w:highlight w:val="none"/>
        </w:rPr>
      </w:pPr>
      <w:r>
        <w:rPr>
          <w:rStyle w:val="47"/>
          <w:rFonts w:hint="eastAsia"/>
          <w:sz w:val="36"/>
          <w:szCs w:val="28"/>
          <w:highlight w:val="none"/>
        </w:rPr>
        <w:t>绩效考核内容及办法</w:t>
      </w:r>
    </w:p>
    <w:p w14:paraId="48D89935">
      <w:pPr>
        <w:jc w:val="both"/>
        <w:rPr>
          <w:rFonts w:hint="eastAsia" w:ascii="宋体" w:hAnsi="宋体" w:eastAsia="宋体" w:cs="宋体"/>
          <w:b/>
          <w:bCs/>
          <w:spacing w:val="-3"/>
          <w:sz w:val="24"/>
          <w:szCs w:val="24"/>
          <w:highlight w:val="none"/>
          <w:lang w:eastAsia="zh-CN"/>
        </w:rPr>
      </w:pPr>
      <w:r>
        <w:rPr>
          <w:rFonts w:hint="eastAsia" w:ascii="宋体" w:hAnsi="宋体" w:eastAsia="宋体" w:cs="宋体"/>
          <w:b/>
          <w:bCs/>
          <w:spacing w:val="-3"/>
          <w:sz w:val="24"/>
          <w:szCs w:val="24"/>
          <w:highlight w:val="none"/>
          <w:lang w:eastAsia="zh-CN"/>
        </w:rPr>
        <w:t>一、考核内容:</w:t>
      </w:r>
    </w:p>
    <w:p w14:paraId="387A5348">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1.本项目内容为城东湖主要支流建设5处湿地，项目建成后拟定人员进行日常的管理和养护工作；</w:t>
      </w:r>
    </w:p>
    <w:p w14:paraId="47D9C081">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 xml:space="preserve">①定期巡视检查湿地内植物的生长情况，及时补植； </w:t>
      </w:r>
    </w:p>
    <w:p w14:paraId="07BAFC6B">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 xml:space="preserve">②根据湿地的植物生长特性及设计方案，定期打捞、收割成熟的湿地植物； </w:t>
      </w:r>
    </w:p>
    <w:p w14:paraId="2B724966">
      <w:pPr>
        <w:jc w:val="both"/>
        <w:rPr>
          <w:rFonts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③定期检查湿地的布水、集水等设施，发现淤塞及时清理，确保湿地进出水顺畅等工作。</w:t>
      </w:r>
    </w:p>
    <w:p w14:paraId="5A9DC797">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4、泵站运行管理。</w:t>
      </w:r>
    </w:p>
    <w:p w14:paraId="5A768E31">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2.固定费用:200万元/年，每季度50万元；</w:t>
      </w:r>
    </w:p>
    <w:p w14:paraId="1139DA3A">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3.考核周期:工程验收合格后，24个月；</w:t>
      </w:r>
    </w:p>
    <w:p w14:paraId="7375902D">
      <w:pPr>
        <w:jc w:val="both"/>
        <w:rPr>
          <w:rFonts w:hint="eastAsia"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二、考核办法</w:t>
      </w:r>
      <w:r>
        <w:rPr>
          <w:rFonts w:hint="eastAsia" w:ascii="宋体" w:hAnsi="宋体" w:eastAsia="宋体" w:cs="宋体"/>
          <w:spacing w:val="-3"/>
          <w:sz w:val="24"/>
          <w:szCs w:val="24"/>
          <w:highlight w:val="none"/>
          <w:lang w:eastAsia="zh-CN"/>
        </w:rPr>
        <w:t>:周期内，分年度考核和季度考核，</w:t>
      </w:r>
    </w:p>
    <w:p w14:paraId="0028F587">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（一）、考核原则</w:t>
      </w:r>
    </w:p>
    <w:p w14:paraId="3E5FF42A">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1.公开原则：考核过程制度化、考核结果公开化。</w:t>
      </w:r>
    </w:p>
    <w:p w14:paraId="0226CAFA">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2.客观性原则：用事实标准说话，避免带入个人主观因素。</w:t>
      </w:r>
    </w:p>
    <w:p w14:paraId="254580E9">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3.反馈原则：在考核结束后，考核结果必须向被考核人反馈，同时听取被考核人对考核结果的意见。</w:t>
      </w:r>
    </w:p>
    <w:p w14:paraId="766F24F0">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（二）、考核范围</w:t>
      </w:r>
    </w:p>
    <w:p w14:paraId="20E9082C">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1、考核对象</w:t>
      </w:r>
    </w:p>
    <w:p w14:paraId="26EB3290">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城东湖主要支流建设5处湿地运行管理养护单位</w:t>
      </w:r>
    </w:p>
    <w:p w14:paraId="27FF8918">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2、考核时间</w:t>
      </w:r>
    </w:p>
    <w:p w14:paraId="113B1BD6">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每年最后一个月开展一次年终考核，每季度最后一个月开展一次季中考核。</w:t>
      </w:r>
    </w:p>
    <w:p w14:paraId="23A7AA79">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3、考核内容</w:t>
      </w:r>
    </w:p>
    <w:p w14:paraId="7243B39A">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由参与考核部门建立考评表打分表，满分100分，根据考核内容权重合理设置分值，考核内容包括：</w:t>
      </w:r>
    </w:p>
    <w:p w14:paraId="2A4E1E5F">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①.湿地运行维护单位对相应的管理制度、维护手册、事故应急预案、岗位操作规程、技术操作规程、安全操作规程及设施、设备维护保养手册等的制定和定期修订情况。</w:t>
      </w:r>
    </w:p>
    <w:p w14:paraId="11EFED12">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②.湿地运行人员、技术人员及管理人员对处理工艺和设施、设备的运行、维护要求及技术指标的掌握情况，对相关法律法规、专业技术、安全防护、应急处理等理论知识和操作技能的培训情况，运行人员持证上岗情况（即：是否具备国家有关环境污染治理设施运营岗位合格证书），湿地运行维护单位对运行人员、技术人员及管理人员定期考核情况。</w:t>
      </w:r>
    </w:p>
    <w:p w14:paraId="3C6674C0">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③.湿地运行维护单位配置情况，对应的工艺流程图、平面布置图和电气自控系统图等的设置情况。</w:t>
      </w:r>
    </w:p>
    <w:p w14:paraId="4199BFD8">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④.湿地能源和材料的消耗是否准确计量，对各项生产指标的统计情况及成本核算情况。</w:t>
      </w:r>
    </w:p>
    <w:p w14:paraId="42618FFE">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⑤.湿地内供水、排水、水处理、自控及电气等设施的运行、维护及管理工作是否符合国家有关标准的规定。</w:t>
      </w:r>
    </w:p>
    <w:p w14:paraId="33DDEAE6">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⑥.湿地进、出口水质水量稳定达标情况（根据日常监测数据情况确定）。</w:t>
      </w:r>
    </w:p>
    <w:p w14:paraId="63895B69">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4、考核方式</w:t>
      </w:r>
    </w:p>
    <w:p w14:paraId="2784AD87">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采用日常监督与集中考核相结合的方式进行。日常监督主要检查湿地进出水水质、水量是否稳定达标；集中考核主要通过邀请相关部门业务骨干、专家等组成考核团队，在考核通知发出后，通过现场实地查看运维台账、各项管理制度落实情况等进行综合评价，对各项考核指标落实情况进行现场打分。</w:t>
      </w:r>
    </w:p>
    <w:p w14:paraId="2801DA7A">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（三）、考核结果运用</w:t>
      </w:r>
    </w:p>
    <w:p w14:paraId="2124A5D0">
      <w:pPr>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考核结果将作为对湿地运行维护单位进行资金拨付的依据，考核结果为90-100分的，全额进行当期资金拨付；考核结果为80-89分的，扣除当期应拨付资金的10%；考核结果为70-79分的，扣除当期应拨付资金的20%；考核结果为60-69分的，扣除当期应拨付资金的30%；考核结果为60分以下的，扣除当期应拨付资金。</w:t>
      </w:r>
    </w:p>
    <w:p w14:paraId="3330EA04">
      <w:pPr>
        <w:numPr>
          <w:ilvl w:val="0"/>
          <w:numId w:val="0"/>
        </w:numPr>
        <w:jc w:val="both"/>
        <w:rPr>
          <w:rFonts w:hint="eastAsia" w:ascii="宋体" w:hAnsi="宋体" w:eastAsia="宋体" w:cs="宋体"/>
          <w:b/>
          <w:bCs/>
          <w:spacing w:val="-3"/>
          <w:sz w:val="24"/>
          <w:szCs w:val="24"/>
          <w:highlight w:val="none"/>
          <w:lang w:val="en-US" w:eastAsia="zh-CN"/>
        </w:rPr>
      </w:pPr>
      <w:r>
        <w:rPr>
          <w:rFonts w:hint="eastAsia" w:ascii="宋体" w:hAnsi="宋体" w:eastAsia="宋体" w:cs="宋体"/>
          <w:b/>
          <w:bCs/>
          <w:snapToGrid w:val="0"/>
          <w:color w:val="000000"/>
          <w:spacing w:val="-3"/>
          <w:sz w:val="24"/>
          <w:szCs w:val="24"/>
          <w:highlight w:val="none"/>
          <w:lang w:val="en-US" w:eastAsia="zh-CN" w:bidi="ar-SA"/>
        </w:rPr>
        <w:t>三、</w:t>
      </w:r>
      <w:r>
        <w:rPr>
          <w:rFonts w:hint="eastAsia" w:ascii="宋体" w:hAnsi="宋体" w:eastAsia="宋体" w:cs="宋体"/>
          <w:b/>
          <w:bCs/>
          <w:spacing w:val="-3"/>
          <w:sz w:val="24"/>
          <w:szCs w:val="24"/>
          <w:highlight w:val="none"/>
          <w:lang w:val="en-US" w:eastAsia="zh-CN"/>
        </w:rPr>
        <w:t>项目绩效考核目标：</w:t>
      </w:r>
    </w:p>
    <w:tbl>
      <w:tblPr>
        <w:tblStyle w:val="19"/>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787"/>
        <w:gridCol w:w="2919"/>
        <w:gridCol w:w="2491"/>
      </w:tblGrid>
      <w:tr w14:paraId="274B6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1" w:type="pct"/>
            <w:vAlign w:val="center"/>
          </w:tcPr>
          <w:p w14:paraId="1C7BF501">
            <w:pPr>
              <w:widowControl/>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体</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目</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标</w:t>
            </w:r>
          </w:p>
        </w:tc>
        <w:tc>
          <w:tcPr>
            <w:tcW w:w="4608" w:type="pct"/>
            <w:gridSpan w:val="4"/>
            <w:vAlign w:val="center"/>
          </w:tcPr>
          <w:p w14:paraId="53E5B37D">
            <w:pPr>
              <w:widowControl/>
              <w:spacing w:line="264"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通过本项目的实施构建城东湖主要支流生态净化湿地，并对城东湖上游主要支流进行</w:t>
            </w:r>
            <w:r>
              <w:rPr>
                <w:rFonts w:hint="eastAsia" w:ascii="宋体" w:hAnsi="宋体" w:eastAsia="宋体" w:cs="宋体"/>
                <w:color w:val="auto"/>
                <w:kern w:val="0"/>
                <w:sz w:val="24"/>
                <w:szCs w:val="24"/>
                <w:highlight w:val="none"/>
                <w:lang w:val="en-US" w:eastAsia="zh-CN"/>
              </w:rPr>
              <w:t>生态化改造，削减入城东湖污染负荷，逐步提升流域生态系统质量和稳定性，促进生态系统良性循环，提高水体自净能力，为改善城东湖流域水环境提供有力支撑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促进城东湖2028年达到美丽河湖保护与建设目标</w:t>
            </w:r>
            <w:r>
              <w:rPr>
                <w:rFonts w:hint="eastAsia" w:ascii="宋体" w:hAnsi="宋体" w:eastAsia="宋体" w:cs="宋体"/>
                <w:color w:val="auto"/>
                <w:kern w:val="0"/>
                <w:sz w:val="24"/>
                <w:szCs w:val="24"/>
                <w:highlight w:val="none"/>
              </w:rPr>
              <w:t>。</w:t>
            </w:r>
          </w:p>
          <w:p w14:paraId="33E49D72">
            <w:pPr>
              <w:widowControl/>
              <w:spacing w:line="264"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目标1：通过实施生态湿地建设、生态</w:t>
            </w:r>
            <w:r>
              <w:rPr>
                <w:rFonts w:hint="eastAsia" w:ascii="宋体" w:hAnsi="宋体" w:eastAsia="宋体" w:cs="宋体"/>
                <w:color w:val="auto"/>
                <w:kern w:val="0"/>
                <w:sz w:val="24"/>
                <w:szCs w:val="24"/>
                <w:highlight w:val="none"/>
                <w:lang w:val="en-US" w:eastAsia="zh-CN"/>
              </w:rPr>
              <w:t>缓冲带</w:t>
            </w:r>
            <w:r>
              <w:rPr>
                <w:rFonts w:hint="eastAsia" w:ascii="宋体" w:hAnsi="宋体" w:eastAsia="宋体" w:cs="宋体"/>
                <w:color w:val="auto"/>
                <w:kern w:val="0"/>
                <w:sz w:val="24"/>
                <w:szCs w:val="24"/>
                <w:highlight w:val="none"/>
              </w:rPr>
              <w:t>建设、入河排污口综合治理等工程，削减削减入城东湖污染负荷，项目预期对主要入河污染物COD、NH3-N、TP削减量可分别达到182.19 t/a、15.99 t/a、2.99 t/a。</w:t>
            </w:r>
          </w:p>
          <w:p w14:paraId="48B07609">
            <w:pPr>
              <w:widowControl/>
              <w:spacing w:line="264"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目标2：新建生态湿地总面积</w:t>
            </w:r>
            <w:r>
              <w:rPr>
                <w:rFonts w:hint="eastAsia" w:ascii="宋体" w:hAnsi="宋体" w:eastAsia="宋体" w:cs="宋体"/>
                <w:color w:val="auto"/>
                <w:kern w:val="0"/>
                <w:sz w:val="24"/>
                <w:szCs w:val="24"/>
                <w:highlight w:val="none"/>
                <w:lang w:val="en-US" w:eastAsia="zh-CN"/>
              </w:rPr>
              <w:t>29.43</w:t>
            </w:r>
            <w:r>
              <w:rPr>
                <w:rFonts w:hint="eastAsia" w:ascii="宋体" w:hAnsi="宋体" w:eastAsia="宋体" w:cs="宋体"/>
                <w:color w:val="auto"/>
                <w:kern w:val="0"/>
                <w:sz w:val="24"/>
                <w:szCs w:val="24"/>
                <w:highlight w:val="none"/>
              </w:rPr>
              <w:t>万m2；建设生态</w:t>
            </w:r>
            <w:r>
              <w:rPr>
                <w:rFonts w:hint="eastAsia" w:ascii="宋体" w:hAnsi="宋体" w:eastAsia="宋体" w:cs="宋体"/>
                <w:color w:val="auto"/>
                <w:kern w:val="0"/>
                <w:sz w:val="24"/>
                <w:szCs w:val="24"/>
                <w:highlight w:val="none"/>
                <w:lang w:val="en-US" w:eastAsia="zh-CN"/>
              </w:rPr>
              <w:t>缓冲带</w:t>
            </w:r>
            <w:r>
              <w:rPr>
                <w:rFonts w:hint="eastAsia" w:ascii="宋体" w:hAnsi="宋体" w:eastAsia="宋体" w:cs="宋体"/>
                <w:color w:val="auto"/>
                <w:kern w:val="0"/>
                <w:sz w:val="24"/>
                <w:szCs w:val="24"/>
                <w:highlight w:val="none"/>
              </w:rPr>
              <w:t>16.9km；水生植物总计种植面积23.5万m2；新建污水管网7.6km，新建200m³/d污水处理设施1座。</w:t>
            </w:r>
          </w:p>
        </w:tc>
      </w:tr>
      <w:tr w14:paraId="0820A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1" w:type="pct"/>
            <w:vMerge w:val="restart"/>
            <w:vAlign w:val="center"/>
          </w:tcPr>
          <w:p w14:paraId="2A71432E">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绩</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效</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标</w:t>
            </w:r>
          </w:p>
        </w:tc>
        <w:tc>
          <w:tcPr>
            <w:tcW w:w="392" w:type="pct"/>
            <w:vAlign w:val="center"/>
          </w:tcPr>
          <w:p w14:paraId="6AF0E4C0">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一级</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指标</w:t>
            </w:r>
          </w:p>
        </w:tc>
        <w:tc>
          <w:tcPr>
            <w:tcW w:w="1047" w:type="pct"/>
            <w:vAlign w:val="center"/>
          </w:tcPr>
          <w:p w14:paraId="2E0ACA4B">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二级指标</w:t>
            </w:r>
          </w:p>
        </w:tc>
        <w:tc>
          <w:tcPr>
            <w:tcW w:w="1710" w:type="pct"/>
            <w:vAlign w:val="center"/>
          </w:tcPr>
          <w:p w14:paraId="598508A5">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三级指标</w:t>
            </w:r>
          </w:p>
        </w:tc>
        <w:tc>
          <w:tcPr>
            <w:tcW w:w="1459" w:type="pct"/>
            <w:vAlign w:val="center"/>
          </w:tcPr>
          <w:p w14:paraId="211895B3">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指标值</w:t>
            </w:r>
          </w:p>
        </w:tc>
      </w:tr>
      <w:tr w14:paraId="7AE2B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159821AE">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restart"/>
            <w:vAlign w:val="center"/>
          </w:tcPr>
          <w:p w14:paraId="1DDB3464">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产</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标</w:t>
            </w:r>
          </w:p>
        </w:tc>
        <w:tc>
          <w:tcPr>
            <w:tcW w:w="1047" w:type="pct"/>
            <w:vMerge w:val="restart"/>
            <w:vAlign w:val="center"/>
          </w:tcPr>
          <w:p w14:paraId="409181C7">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数量指标</w:t>
            </w:r>
          </w:p>
        </w:tc>
        <w:tc>
          <w:tcPr>
            <w:tcW w:w="1710" w:type="pct"/>
            <w:vAlign w:val="center"/>
          </w:tcPr>
          <w:p w14:paraId="3343CC7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指标1：湿地建设面积</w:t>
            </w:r>
          </w:p>
        </w:tc>
        <w:tc>
          <w:tcPr>
            <w:tcW w:w="1459" w:type="pct"/>
            <w:vAlign w:val="center"/>
          </w:tcPr>
          <w:p w14:paraId="2DC4F766">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29.43</w:t>
            </w:r>
            <w:r>
              <w:rPr>
                <w:rFonts w:hint="eastAsia" w:ascii="宋体" w:hAnsi="宋体" w:eastAsia="宋体" w:cs="宋体"/>
                <w:color w:val="auto"/>
                <w:kern w:val="0"/>
                <w:sz w:val="24"/>
                <w:szCs w:val="24"/>
              </w:rPr>
              <w:t>万m2</w:t>
            </w:r>
          </w:p>
        </w:tc>
      </w:tr>
      <w:tr w14:paraId="51BB3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4B311607">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07C28C79">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047" w:type="pct"/>
            <w:vMerge w:val="continue"/>
            <w:vAlign w:val="center"/>
          </w:tcPr>
          <w:p w14:paraId="4A884182">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710" w:type="pct"/>
            <w:vAlign w:val="center"/>
          </w:tcPr>
          <w:p w14:paraId="69BC333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指标2：建设生态</w:t>
            </w:r>
            <w:r>
              <w:rPr>
                <w:rFonts w:hint="eastAsia" w:ascii="宋体" w:hAnsi="宋体" w:eastAsia="宋体" w:cs="宋体"/>
                <w:color w:val="auto"/>
                <w:kern w:val="0"/>
                <w:sz w:val="24"/>
                <w:szCs w:val="24"/>
                <w:lang w:val="en-US" w:eastAsia="zh-CN"/>
              </w:rPr>
              <w:t>缓冲带</w:t>
            </w:r>
            <w:r>
              <w:rPr>
                <w:rFonts w:hint="eastAsia" w:ascii="宋体" w:hAnsi="宋体" w:eastAsia="宋体" w:cs="宋体"/>
                <w:color w:val="auto"/>
                <w:kern w:val="0"/>
                <w:sz w:val="24"/>
                <w:szCs w:val="24"/>
              </w:rPr>
              <w:t>长度</w:t>
            </w:r>
          </w:p>
        </w:tc>
        <w:tc>
          <w:tcPr>
            <w:tcW w:w="1459" w:type="pct"/>
            <w:vAlign w:val="center"/>
          </w:tcPr>
          <w:p w14:paraId="022DD93F">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16.9km</w:t>
            </w:r>
          </w:p>
        </w:tc>
      </w:tr>
      <w:tr w14:paraId="1AD4C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14866903">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2367CC2B">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047" w:type="pct"/>
            <w:vMerge w:val="continue"/>
            <w:vAlign w:val="center"/>
          </w:tcPr>
          <w:p w14:paraId="01486A64">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710" w:type="pct"/>
            <w:vAlign w:val="center"/>
          </w:tcPr>
          <w:p w14:paraId="7B8EF377">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指标3：水生植物种植面积</w:t>
            </w:r>
          </w:p>
        </w:tc>
        <w:tc>
          <w:tcPr>
            <w:tcW w:w="1459" w:type="pct"/>
            <w:vAlign w:val="center"/>
          </w:tcPr>
          <w:p w14:paraId="55914E51">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23.5万m</w:t>
            </w:r>
            <w:r>
              <w:rPr>
                <w:rFonts w:hint="eastAsia" w:ascii="宋体" w:hAnsi="宋体" w:eastAsia="宋体" w:cs="宋体"/>
                <w:color w:val="auto"/>
                <w:kern w:val="0"/>
                <w:sz w:val="24"/>
                <w:szCs w:val="24"/>
                <w:vertAlign w:val="superscript"/>
              </w:rPr>
              <w:t>2</w:t>
            </w:r>
          </w:p>
        </w:tc>
      </w:tr>
      <w:tr w14:paraId="3E0D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57AEBB8A">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788AB1CC">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047" w:type="pct"/>
            <w:vMerge w:val="continue"/>
            <w:vAlign w:val="center"/>
          </w:tcPr>
          <w:p w14:paraId="2FD61FF0">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710" w:type="pct"/>
            <w:vAlign w:val="center"/>
          </w:tcPr>
          <w:p w14:paraId="4B9C4CCE">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指标4：新建污水管道长度</w:t>
            </w:r>
          </w:p>
        </w:tc>
        <w:tc>
          <w:tcPr>
            <w:tcW w:w="1459" w:type="pct"/>
            <w:vAlign w:val="center"/>
          </w:tcPr>
          <w:p w14:paraId="1628F301">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7.6km</w:t>
            </w:r>
          </w:p>
        </w:tc>
      </w:tr>
      <w:tr w14:paraId="4DF59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75F6866A">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192409F7">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047" w:type="pct"/>
            <w:vMerge w:val="continue"/>
            <w:vAlign w:val="center"/>
          </w:tcPr>
          <w:p w14:paraId="435D04B2">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710" w:type="pct"/>
            <w:vAlign w:val="center"/>
          </w:tcPr>
          <w:p w14:paraId="78C358C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指标5：新增污水处理规模</w:t>
            </w:r>
          </w:p>
        </w:tc>
        <w:tc>
          <w:tcPr>
            <w:tcW w:w="1459" w:type="pct"/>
            <w:vAlign w:val="center"/>
          </w:tcPr>
          <w:p w14:paraId="5A04F69A">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200m³/d</w:t>
            </w:r>
          </w:p>
        </w:tc>
      </w:tr>
      <w:tr w14:paraId="2196A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39D96E1D">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02278ACE">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Align w:val="center"/>
          </w:tcPr>
          <w:p w14:paraId="18C49F18">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质量指标</w:t>
            </w:r>
          </w:p>
        </w:tc>
        <w:tc>
          <w:tcPr>
            <w:tcW w:w="1710" w:type="pct"/>
            <w:vAlign w:val="center"/>
          </w:tcPr>
          <w:p w14:paraId="454D53D8">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指标1：项目竣工验收合格率</w:t>
            </w:r>
          </w:p>
        </w:tc>
        <w:tc>
          <w:tcPr>
            <w:tcW w:w="1459" w:type="pct"/>
            <w:vAlign w:val="center"/>
          </w:tcPr>
          <w:p w14:paraId="345F0391">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r w14:paraId="36C58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42825C7C">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24653B4F">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Align w:val="center"/>
          </w:tcPr>
          <w:p w14:paraId="55164BDA">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时效指标</w:t>
            </w:r>
          </w:p>
        </w:tc>
        <w:tc>
          <w:tcPr>
            <w:tcW w:w="1710" w:type="pct"/>
            <w:vAlign w:val="center"/>
          </w:tcPr>
          <w:p w14:paraId="5FE3E805">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指标1：项目按期完成率</w:t>
            </w:r>
          </w:p>
        </w:tc>
        <w:tc>
          <w:tcPr>
            <w:tcW w:w="1459" w:type="pct"/>
            <w:vAlign w:val="center"/>
          </w:tcPr>
          <w:p w14:paraId="0034B703">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r w14:paraId="6957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36B09980">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489189E7">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restart"/>
            <w:vAlign w:val="center"/>
          </w:tcPr>
          <w:p w14:paraId="20E014D7">
            <w:pPr>
              <w:adjustRightInd w:val="0"/>
              <w:snapToGrid w:val="0"/>
              <w:spacing w:line="24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成本指标</w:t>
            </w:r>
          </w:p>
        </w:tc>
        <w:tc>
          <w:tcPr>
            <w:tcW w:w="1710" w:type="pct"/>
            <w:vAlign w:val="center"/>
          </w:tcPr>
          <w:p w14:paraId="5A2E6843">
            <w:pPr>
              <w:widowControl/>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指标1：有效控制成本投资在</w:t>
            </w:r>
          </w:p>
          <w:p w14:paraId="303763D2">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预算范围内</w:t>
            </w:r>
          </w:p>
        </w:tc>
        <w:tc>
          <w:tcPr>
            <w:tcW w:w="1459" w:type="pct"/>
            <w:vAlign w:val="center"/>
          </w:tcPr>
          <w:p w14:paraId="69EFA0C4">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完成</w:t>
            </w:r>
          </w:p>
        </w:tc>
      </w:tr>
      <w:tr w14:paraId="77CEC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51619E8D">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704A5B0A">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continue"/>
            <w:vAlign w:val="center"/>
          </w:tcPr>
          <w:p w14:paraId="67AE629F">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710" w:type="pct"/>
            <w:vAlign w:val="center"/>
          </w:tcPr>
          <w:p w14:paraId="16898AB3">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指标2：是否超出可研预算</w:t>
            </w:r>
          </w:p>
        </w:tc>
        <w:tc>
          <w:tcPr>
            <w:tcW w:w="1459" w:type="pct"/>
            <w:vAlign w:val="center"/>
          </w:tcPr>
          <w:p w14:paraId="34633B2D">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否</w:t>
            </w:r>
          </w:p>
        </w:tc>
      </w:tr>
      <w:tr w14:paraId="7468D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31564526">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392" w:type="pct"/>
            <w:vMerge w:val="restart"/>
            <w:vAlign w:val="center"/>
          </w:tcPr>
          <w:p w14:paraId="3EADC5AA">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效</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益</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标</w:t>
            </w:r>
          </w:p>
        </w:tc>
        <w:tc>
          <w:tcPr>
            <w:tcW w:w="1047" w:type="pct"/>
            <w:vAlign w:val="center"/>
          </w:tcPr>
          <w:p w14:paraId="7786E567">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社会效益</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指标</w:t>
            </w:r>
          </w:p>
        </w:tc>
        <w:tc>
          <w:tcPr>
            <w:tcW w:w="1710" w:type="pct"/>
            <w:vAlign w:val="center"/>
          </w:tcPr>
          <w:p w14:paraId="4435AE92">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指标1：提高民众对生态修复的认知，树立生态价值观念</w:t>
            </w:r>
          </w:p>
        </w:tc>
        <w:tc>
          <w:tcPr>
            <w:tcW w:w="1459" w:type="pct"/>
            <w:vAlign w:val="center"/>
          </w:tcPr>
          <w:p w14:paraId="398690CB">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环境保护意识增强，影响持续提升</w:t>
            </w:r>
          </w:p>
        </w:tc>
      </w:tr>
      <w:tr w14:paraId="7B9A1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736F45A6">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392" w:type="pct"/>
            <w:vMerge w:val="continue"/>
            <w:vAlign w:val="center"/>
          </w:tcPr>
          <w:p w14:paraId="51C795A7">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p>
        </w:tc>
        <w:tc>
          <w:tcPr>
            <w:tcW w:w="1047" w:type="pct"/>
            <w:vAlign w:val="center"/>
          </w:tcPr>
          <w:p w14:paraId="52CCC06D">
            <w:pPr>
              <w:widowControl/>
              <w:adjustRightInd w:val="0"/>
              <w:snapToGrid w:val="0"/>
              <w:spacing w:line="240" w:lineRule="auto"/>
              <w:ind w:firstLine="0" w:firstLine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经济效益指标</w:t>
            </w:r>
          </w:p>
        </w:tc>
        <w:tc>
          <w:tcPr>
            <w:tcW w:w="1710" w:type="pct"/>
            <w:vAlign w:val="center"/>
          </w:tcPr>
          <w:p w14:paraId="48DC69EC">
            <w:pPr>
              <w:widowControl/>
              <w:adjustRightInd w:val="0"/>
              <w:snapToGrid w:val="0"/>
              <w:spacing w:line="240" w:lineRule="auto"/>
              <w:ind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指标</w:t>
            </w:r>
            <w:r>
              <w:rPr>
                <w:rFonts w:hint="eastAsia" w:ascii="宋体" w:hAnsi="宋体" w:eastAsia="宋体" w:cs="宋体"/>
                <w:color w:val="auto"/>
                <w:kern w:val="0"/>
                <w:sz w:val="24"/>
                <w:szCs w:val="24"/>
                <w:lang w:val="en-US" w:eastAsia="zh-CN"/>
              </w:rPr>
              <w:t>1：改善区域经济发展环境，促进美丽霍邱建设</w:t>
            </w:r>
          </w:p>
        </w:tc>
        <w:tc>
          <w:tcPr>
            <w:tcW w:w="1459" w:type="pct"/>
            <w:vAlign w:val="center"/>
          </w:tcPr>
          <w:p w14:paraId="0AA0EC0F">
            <w:pPr>
              <w:widowControl/>
              <w:adjustRightInd w:val="0"/>
              <w:snapToGrid w:val="0"/>
              <w:spacing w:line="240" w:lineRule="auto"/>
              <w:ind w:firstLine="0" w:firstLine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项目实施后有利于霍邱县生态环境质量提升，发展绿色循环经济，带动区域社会经济发展。</w:t>
            </w:r>
          </w:p>
        </w:tc>
      </w:tr>
      <w:tr w14:paraId="2ACB0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522AE552">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07A8A548">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restart"/>
            <w:vAlign w:val="center"/>
          </w:tcPr>
          <w:p w14:paraId="524990DA">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生态效益</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指标</w:t>
            </w:r>
          </w:p>
        </w:tc>
        <w:tc>
          <w:tcPr>
            <w:tcW w:w="1710" w:type="pct"/>
            <w:vAlign w:val="center"/>
          </w:tcPr>
          <w:p w14:paraId="18EF18E0">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指标1：水质改善</w:t>
            </w:r>
          </w:p>
        </w:tc>
        <w:tc>
          <w:tcPr>
            <w:tcW w:w="1459" w:type="pct"/>
            <w:vAlign w:val="center"/>
          </w:tcPr>
          <w:p w14:paraId="43660895">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预期削减入河污染物：CODcr 182.19 t/a</w:t>
            </w:r>
          </w:p>
          <w:p w14:paraId="2DB9D564">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NH</w:t>
            </w:r>
            <w:r>
              <w:rPr>
                <w:rFonts w:hint="eastAsia" w:ascii="宋体" w:hAnsi="宋体" w:eastAsia="宋体" w:cs="宋体"/>
                <w:color w:val="auto"/>
                <w:kern w:val="0"/>
                <w:sz w:val="24"/>
                <w:szCs w:val="24"/>
                <w:vertAlign w:val="subscript"/>
              </w:rPr>
              <w:t>3</w:t>
            </w:r>
            <w:r>
              <w:rPr>
                <w:rFonts w:hint="eastAsia" w:ascii="宋体" w:hAnsi="宋体" w:eastAsia="宋体" w:cs="宋体"/>
                <w:color w:val="auto"/>
                <w:kern w:val="0"/>
                <w:sz w:val="24"/>
                <w:szCs w:val="24"/>
              </w:rPr>
              <w:t>-N 15.99 1t/d、</w:t>
            </w:r>
          </w:p>
          <w:p w14:paraId="5AFFF4DF">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TP</w:t>
            </w: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2.99 t/a</w:t>
            </w:r>
          </w:p>
        </w:tc>
      </w:tr>
      <w:tr w14:paraId="27297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35DA699F">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6EAA2FF4">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continue"/>
            <w:vAlign w:val="center"/>
          </w:tcPr>
          <w:p w14:paraId="49D5B94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710" w:type="pct"/>
            <w:vAlign w:val="center"/>
          </w:tcPr>
          <w:p w14:paraId="3604F41D">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指标2：生物多样性</w:t>
            </w:r>
          </w:p>
        </w:tc>
        <w:tc>
          <w:tcPr>
            <w:tcW w:w="1459" w:type="pct"/>
            <w:vAlign w:val="center"/>
          </w:tcPr>
          <w:p w14:paraId="0A572883">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明显提升</w:t>
            </w:r>
          </w:p>
        </w:tc>
      </w:tr>
      <w:tr w14:paraId="06721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0D838858">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0AC3E726">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restart"/>
            <w:vAlign w:val="center"/>
          </w:tcPr>
          <w:p w14:paraId="082C0D2D">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可持续影响</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指标</w:t>
            </w:r>
          </w:p>
        </w:tc>
        <w:tc>
          <w:tcPr>
            <w:tcW w:w="1710" w:type="pct"/>
            <w:vAlign w:val="center"/>
          </w:tcPr>
          <w:p w14:paraId="13DA385C">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指标1：项目改善城东湖及主要支流水质，提高水生态系统稳定性，改善生态环境</w:t>
            </w:r>
          </w:p>
        </w:tc>
        <w:tc>
          <w:tcPr>
            <w:tcW w:w="1459" w:type="pct"/>
            <w:vAlign w:val="center"/>
          </w:tcPr>
          <w:p w14:paraId="04124EDB">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持续改善</w:t>
            </w:r>
          </w:p>
        </w:tc>
      </w:tr>
      <w:tr w14:paraId="339BB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5D480140">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08452825">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continue"/>
            <w:vAlign w:val="center"/>
          </w:tcPr>
          <w:p w14:paraId="0ADB59EF">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710" w:type="pct"/>
            <w:vAlign w:val="center"/>
          </w:tcPr>
          <w:p w14:paraId="37CC671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指标1：公众环境保护意识</w:t>
            </w:r>
          </w:p>
        </w:tc>
        <w:tc>
          <w:tcPr>
            <w:tcW w:w="1459" w:type="pct"/>
            <w:vAlign w:val="center"/>
          </w:tcPr>
          <w:p w14:paraId="01C6F8DF">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持续提高</w:t>
            </w:r>
          </w:p>
        </w:tc>
      </w:tr>
      <w:tr w14:paraId="453AF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1" w:type="pct"/>
            <w:vMerge w:val="continue"/>
            <w:vAlign w:val="center"/>
          </w:tcPr>
          <w:p w14:paraId="2831A3EA">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Merge w:val="continue"/>
            <w:vAlign w:val="center"/>
          </w:tcPr>
          <w:p w14:paraId="5B63CB89">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047" w:type="pct"/>
            <w:vMerge w:val="continue"/>
            <w:vAlign w:val="center"/>
          </w:tcPr>
          <w:p w14:paraId="73006C71">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1710" w:type="pct"/>
            <w:vAlign w:val="center"/>
          </w:tcPr>
          <w:p w14:paraId="49A0B691">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指标2：项目服务区内居民生活质量得到持续提升</w:t>
            </w:r>
          </w:p>
        </w:tc>
        <w:tc>
          <w:tcPr>
            <w:tcW w:w="1459" w:type="pct"/>
            <w:vAlign w:val="center"/>
          </w:tcPr>
          <w:p w14:paraId="4106D2CE">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显著提高</w:t>
            </w:r>
          </w:p>
        </w:tc>
      </w:tr>
      <w:tr w14:paraId="7374C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1" w:type="pct"/>
            <w:vMerge w:val="continue"/>
            <w:vAlign w:val="center"/>
          </w:tcPr>
          <w:p w14:paraId="32DC54FA">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p>
        </w:tc>
        <w:tc>
          <w:tcPr>
            <w:tcW w:w="392" w:type="pct"/>
            <w:vAlign w:val="center"/>
          </w:tcPr>
          <w:p w14:paraId="2D11AB38">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满意度指</w:t>
            </w:r>
          </w:p>
          <w:p w14:paraId="684C736E">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w:t>
            </w:r>
          </w:p>
        </w:tc>
        <w:tc>
          <w:tcPr>
            <w:tcW w:w="1047" w:type="pct"/>
            <w:vAlign w:val="center"/>
          </w:tcPr>
          <w:p w14:paraId="4F707087">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服务对象</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满意度指标</w:t>
            </w:r>
          </w:p>
        </w:tc>
        <w:tc>
          <w:tcPr>
            <w:tcW w:w="1710" w:type="pct"/>
            <w:vAlign w:val="center"/>
          </w:tcPr>
          <w:p w14:paraId="294C2516">
            <w:pPr>
              <w:widowControl/>
              <w:adjustRightInd w:val="0"/>
              <w:snapToGrid w:val="0"/>
              <w:spacing w:line="24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指标1：公众满意度</w:t>
            </w:r>
          </w:p>
        </w:tc>
        <w:tc>
          <w:tcPr>
            <w:tcW w:w="1459" w:type="pct"/>
            <w:vAlign w:val="center"/>
          </w:tcPr>
          <w:p w14:paraId="0EF11924">
            <w:pPr>
              <w:widowControl/>
              <w:adjustRightInd w:val="0"/>
              <w:snapToGrid w:val="0"/>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≥90%</w:t>
            </w:r>
          </w:p>
        </w:tc>
      </w:tr>
    </w:tbl>
    <w:p w14:paraId="18180A21">
      <w:pPr>
        <w:numPr>
          <w:ilvl w:val="0"/>
          <w:numId w:val="0"/>
        </w:numPr>
        <w:kinsoku w:val="0"/>
        <w:autoSpaceDE w:val="0"/>
        <w:autoSpaceDN w:val="0"/>
        <w:adjustRightInd w:val="0"/>
        <w:snapToGrid w:val="0"/>
        <w:jc w:val="both"/>
        <w:textAlignment w:val="baseline"/>
        <w:rPr>
          <w:rFonts w:hint="eastAsia" w:ascii="宋体" w:hAnsi="宋体" w:eastAsia="宋体" w:cs="宋体"/>
          <w:b/>
          <w:bCs/>
          <w:spacing w:val="-3"/>
          <w:sz w:val="24"/>
          <w:szCs w:val="24"/>
          <w:highlight w:val="yellow"/>
          <w:lang w:eastAsia="zh-CN"/>
        </w:rPr>
      </w:pPr>
    </w:p>
    <w:p w14:paraId="2DD8A3E9">
      <w:pPr>
        <w:numPr>
          <w:ilvl w:val="0"/>
          <w:numId w:val="0"/>
        </w:numPr>
        <w:kinsoku w:val="0"/>
        <w:autoSpaceDE w:val="0"/>
        <w:autoSpaceDN w:val="0"/>
        <w:adjustRightInd w:val="0"/>
        <w:snapToGrid w:val="0"/>
        <w:jc w:val="both"/>
        <w:textAlignment w:val="baseline"/>
        <w:rPr>
          <w:rFonts w:hint="eastAsia" w:ascii="宋体" w:hAnsi="宋体" w:eastAsia="宋体" w:cs="宋体"/>
          <w:b/>
          <w:bCs/>
          <w:spacing w:val="-3"/>
          <w:sz w:val="24"/>
          <w:szCs w:val="24"/>
          <w:highlight w:val="none"/>
          <w:lang w:eastAsia="zh-CN"/>
        </w:rPr>
      </w:pPr>
    </w:p>
    <w:p w14:paraId="6A274A44">
      <w:pPr>
        <w:numPr>
          <w:ilvl w:val="0"/>
          <w:numId w:val="0"/>
        </w:numPr>
        <w:kinsoku w:val="0"/>
        <w:autoSpaceDE w:val="0"/>
        <w:autoSpaceDN w:val="0"/>
        <w:adjustRightInd w:val="0"/>
        <w:snapToGrid w:val="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b/>
          <w:bCs/>
          <w:spacing w:val="-3"/>
          <w:sz w:val="24"/>
          <w:szCs w:val="24"/>
          <w:highlight w:val="none"/>
          <w:lang w:eastAsia="zh-CN"/>
        </w:rPr>
        <w:t>附件：考核评分表</w:t>
      </w:r>
    </w:p>
    <w:tbl>
      <w:tblPr>
        <w:tblStyle w:val="19"/>
        <w:tblW w:w="8555" w:type="dxa"/>
        <w:tblInd w:w="93" w:type="dxa"/>
        <w:shd w:val="clear" w:color="auto" w:fill="FFFFFF"/>
        <w:tblLayout w:type="autofit"/>
        <w:tblCellMar>
          <w:top w:w="15" w:type="dxa"/>
          <w:left w:w="15" w:type="dxa"/>
          <w:bottom w:w="15" w:type="dxa"/>
          <w:right w:w="15" w:type="dxa"/>
        </w:tblCellMar>
      </w:tblPr>
      <w:tblGrid>
        <w:gridCol w:w="516"/>
        <w:gridCol w:w="5772"/>
        <w:gridCol w:w="1549"/>
        <w:gridCol w:w="718"/>
      </w:tblGrid>
      <w:tr w14:paraId="4FDE627B">
        <w:tblPrEx>
          <w:shd w:val="clear" w:color="auto" w:fill="FFFFFF"/>
          <w:tblCellMar>
            <w:top w:w="15" w:type="dxa"/>
            <w:left w:w="15" w:type="dxa"/>
            <w:bottom w:w="15" w:type="dxa"/>
            <w:right w:w="15"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0590BA4">
            <w:pPr>
              <w:pStyle w:val="18"/>
              <w:snapToGrid w:val="0"/>
              <w:spacing w:before="0" w:beforeAutospacing="0" w:after="0" w:afterAutospacing="0"/>
              <w:jc w:val="center"/>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rPr>
              <w:t>序号</w:t>
            </w:r>
          </w:p>
        </w:tc>
        <w:tc>
          <w:tcPr>
            <w:tcW w:w="5772"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204C7F">
            <w:pPr>
              <w:pStyle w:val="18"/>
              <w:snapToGrid w:val="0"/>
              <w:spacing w:before="0" w:beforeAutospacing="0" w:after="0" w:afterAutospacing="0"/>
              <w:jc w:val="center"/>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rPr>
              <w:t>考核内容</w:t>
            </w:r>
          </w:p>
        </w:tc>
        <w:tc>
          <w:tcPr>
            <w:tcW w:w="1549"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238DA3">
            <w:pPr>
              <w:pStyle w:val="18"/>
              <w:snapToGrid w:val="0"/>
              <w:spacing w:before="0" w:beforeAutospacing="0" w:after="0" w:afterAutospacing="0"/>
              <w:jc w:val="center"/>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rPr>
              <w:t>评分标准</w:t>
            </w:r>
          </w:p>
        </w:tc>
        <w:tc>
          <w:tcPr>
            <w:tcW w:w="71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FD84DA">
            <w:pPr>
              <w:pStyle w:val="18"/>
              <w:snapToGrid w:val="0"/>
              <w:spacing w:before="0" w:beforeAutospacing="0" w:after="0" w:afterAutospacing="0"/>
              <w:jc w:val="center"/>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rPr>
              <w:t>评分</w:t>
            </w:r>
          </w:p>
        </w:tc>
      </w:tr>
      <w:tr w14:paraId="1C15F38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174E6DF">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1</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C9B8DA">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湿地运行维护单位对相应的管理制度、维护手册、事故应急预案、岗位操作规程、技术操作规程、安全操作规程及设施、设备维护保养手册等的制定和定期修订情况。</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C553BF">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该项总分15分，每缺一项扣1分，扣完为止。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2A83FB">
            <w:pPr>
              <w:rPr>
                <w:rFonts w:hint="eastAsia" w:ascii="宋体" w:hAnsi="宋体" w:eastAsia="宋体" w:cs="宋体"/>
                <w:color w:val="333333"/>
                <w:sz w:val="24"/>
                <w:szCs w:val="24"/>
                <w:highlight w:val="none"/>
                <w:lang w:eastAsia="zh-CN"/>
              </w:rPr>
            </w:pPr>
          </w:p>
        </w:tc>
      </w:tr>
      <w:tr w14:paraId="63351921">
        <w:tblPrEx>
          <w:shd w:val="clear" w:color="auto" w:fill="FFFFFF"/>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2B52A1">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2</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0DAC9D">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运行人员、技术人员及管理人员对处理工艺和设施、设备的运行、维护要求及技术指标的掌握情况，对相关法律法规、专业技术、安全防护、应急处理等理论知识和操作技能的培训情况，运行人员持证上岗情况（即：是否具备国家有关环境污染治理设施运营岗位合格证书），湿地运行维护单位对运行人员、技术人员及管理人员定期考核情况。</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A3D51F">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该项总分15分，每缺一项扣1分，扣完为止。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33CC65">
            <w:pPr>
              <w:rPr>
                <w:rFonts w:hint="eastAsia" w:ascii="宋体" w:hAnsi="宋体" w:eastAsia="宋体" w:cs="宋体"/>
                <w:color w:val="333333"/>
                <w:sz w:val="24"/>
                <w:szCs w:val="24"/>
                <w:highlight w:val="none"/>
                <w:lang w:eastAsia="zh-CN"/>
              </w:rPr>
            </w:pPr>
          </w:p>
        </w:tc>
      </w:tr>
      <w:tr w14:paraId="2B29A23D">
        <w:tblPrEx>
          <w:shd w:val="clear" w:color="auto" w:fill="FFFFFF"/>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11EA0C">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3</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4C86C8">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湿地运行维护单位配置情况，对应的工艺流程图、平面布置图和电气自控系统图、警示标志等的设置情况。</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DB77E0">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该项总分10分，每缺一项扣1分，扣完为止。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2C8AE">
            <w:pPr>
              <w:rPr>
                <w:rFonts w:hint="eastAsia" w:ascii="宋体" w:hAnsi="宋体" w:eastAsia="宋体" w:cs="宋体"/>
                <w:color w:val="333333"/>
                <w:sz w:val="24"/>
                <w:szCs w:val="24"/>
                <w:highlight w:val="none"/>
                <w:lang w:eastAsia="zh-CN"/>
              </w:rPr>
            </w:pPr>
          </w:p>
        </w:tc>
      </w:tr>
      <w:tr w14:paraId="2CBAE777">
        <w:tblPrEx>
          <w:shd w:val="clear" w:color="auto" w:fill="FFFFFF"/>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41CEA1">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4</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A0F9D7">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湿地能源和材料的消耗是否准确计量，对各项生产指标的统计情况及成本核算情况。</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9D709D">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该项总分10分，每缺一项扣1分，扣完为止。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F62A21">
            <w:pPr>
              <w:rPr>
                <w:rFonts w:hint="eastAsia" w:ascii="宋体" w:hAnsi="宋体" w:eastAsia="宋体" w:cs="宋体"/>
                <w:color w:val="333333"/>
                <w:sz w:val="24"/>
                <w:szCs w:val="24"/>
                <w:highlight w:val="none"/>
                <w:lang w:eastAsia="zh-CN"/>
              </w:rPr>
            </w:pPr>
          </w:p>
        </w:tc>
      </w:tr>
      <w:tr w14:paraId="1241A22D">
        <w:tblPrEx>
          <w:shd w:val="clear" w:color="auto" w:fill="FFFFFF"/>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94E91E8">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5</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40244E">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湿地内供水、排水、水处理、自控及电气等设施的运行、维护及管理工作是否符合国家有关标准的规定。</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BDB8ED">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该项总分20分，每缺一项扣1分，扣完为止。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6C27DA">
            <w:pPr>
              <w:rPr>
                <w:rFonts w:hint="eastAsia" w:ascii="宋体" w:hAnsi="宋体" w:eastAsia="宋体" w:cs="宋体"/>
                <w:color w:val="333333"/>
                <w:sz w:val="24"/>
                <w:szCs w:val="24"/>
                <w:highlight w:val="none"/>
                <w:lang w:eastAsia="zh-CN"/>
              </w:rPr>
            </w:pPr>
          </w:p>
        </w:tc>
      </w:tr>
      <w:tr w14:paraId="1EAD0F85">
        <w:tblPrEx>
          <w:shd w:val="clear" w:color="auto" w:fill="FFFFFF"/>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AF752DD">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6</w:t>
            </w:r>
          </w:p>
        </w:tc>
        <w:tc>
          <w:tcPr>
            <w:tcW w:w="577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32E32A">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湿地进、出口水质水量稳定达标情况（根据日常监测数据情况确定）</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41BE44">
            <w:pPr>
              <w:pStyle w:val="18"/>
              <w:snapToGrid w:val="0"/>
              <w:spacing w:before="0" w:beforeAutospacing="0" w:after="0" w:afterAutospacing="0"/>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该项总分30分，每缺一项扣1分，扣完为止。</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2D01DC">
            <w:pPr>
              <w:rPr>
                <w:rFonts w:hint="eastAsia" w:ascii="宋体" w:hAnsi="宋体" w:eastAsia="宋体" w:cs="宋体"/>
                <w:color w:val="333333"/>
                <w:sz w:val="24"/>
                <w:szCs w:val="24"/>
                <w:highlight w:val="none"/>
                <w:lang w:eastAsia="zh-CN"/>
              </w:rPr>
            </w:pPr>
          </w:p>
        </w:tc>
      </w:tr>
      <w:tr w14:paraId="0F692007">
        <w:tblPrEx>
          <w:shd w:val="clear" w:color="auto" w:fill="FFFFFF"/>
          <w:tblCellMar>
            <w:top w:w="15" w:type="dxa"/>
            <w:left w:w="15" w:type="dxa"/>
            <w:bottom w:w="15" w:type="dxa"/>
            <w:right w:w="15" w:type="dxa"/>
          </w:tblCellMar>
        </w:tblPrEx>
        <w:tc>
          <w:tcPr>
            <w:tcW w:w="5772"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391670">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被考核单位负责人（签名）：</w:t>
            </w:r>
          </w:p>
        </w:tc>
        <w:tc>
          <w:tcPr>
            <w:tcW w:w="154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1EBE92">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总分</w:t>
            </w:r>
          </w:p>
        </w:tc>
        <w:tc>
          <w:tcPr>
            <w:tcW w:w="71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81D8DC">
            <w:pPr>
              <w:jc w:val="center"/>
              <w:rPr>
                <w:rFonts w:hint="eastAsia" w:ascii="宋体" w:hAnsi="宋体" w:eastAsia="宋体" w:cs="宋体"/>
                <w:color w:val="333333"/>
                <w:sz w:val="24"/>
                <w:szCs w:val="24"/>
                <w:highlight w:val="none"/>
              </w:rPr>
            </w:pPr>
          </w:p>
        </w:tc>
      </w:tr>
      <w:tr w14:paraId="278A8378">
        <w:tblPrEx>
          <w:shd w:val="clear" w:color="auto" w:fill="FFFFFF"/>
          <w:tblCellMar>
            <w:top w:w="15" w:type="dxa"/>
            <w:left w:w="15" w:type="dxa"/>
            <w:bottom w:w="15" w:type="dxa"/>
            <w:right w:w="15" w:type="dxa"/>
          </w:tblCellMar>
        </w:tblPrEx>
        <w:tc>
          <w:tcPr>
            <w:tcW w:w="5772"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FE778C">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考核人员（签名）：</w:t>
            </w:r>
          </w:p>
        </w:tc>
        <w:tc>
          <w:tcPr>
            <w:tcW w:w="718"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3D08E2">
            <w:pPr>
              <w:pStyle w:val="18"/>
              <w:snapToGrid w:val="0"/>
              <w:spacing w:before="0" w:beforeAutospacing="0" w:after="0" w:afterAutospacing="0"/>
              <w:jc w:val="center"/>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考核单位（盖章）</w:t>
            </w:r>
          </w:p>
        </w:tc>
      </w:tr>
    </w:tbl>
    <w:p w14:paraId="4265B5C7">
      <w:pPr>
        <w:pStyle w:val="5"/>
        <w:numPr>
          <w:ilvl w:val="0"/>
          <w:numId w:val="0"/>
        </w:numPr>
        <w:jc w:val="both"/>
        <w:rPr>
          <w:rFonts w:hint="eastAsia" w:ascii="宋体" w:hAnsi="宋体" w:eastAsia="宋体" w:cs="宋体"/>
          <w:b/>
          <w:bCs/>
          <w:color w:val="auto"/>
          <w:sz w:val="24"/>
          <w:szCs w:val="24"/>
        </w:rPr>
      </w:pPr>
      <w:bookmarkStart w:id="39" w:name="_Toc29200"/>
    </w:p>
    <w:bookmarkEnd w:id="39"/>
    <w:p w14:paraId="07E2635F">
      <w:pP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br w:type="page"/>
      </w:r>
    </w:p>
    <w:p w14:paraId="130ADFA6">
      <w:pPr>
        <w:spacing w:line="360" w:lineRule="auto"/>
        <w:ind w:left="396"/>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14.4付款计划表</w:t>
      </w:r>
    </w:p>
    <w:p w14:paraId="23329642">
      <w:pPr>
        <w:spacing w:line="360" w:lineRule="auto"/>
        <w:ind w:left="39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14.4.1付款计划表的编制要求：</w:t>
      </w:r>
      <w:r>
        <w:rPr>
          <w:rFonts w:hint="eastAsia" w:ascii="宋体" w:hAnsi="宋体" w:eastAsia="宋体" w:cs="宋体"/>
          <w:spacing w:val="-2"/>
          <w:sz w:val="24"/>
          <w:szCs w:val="24"/>
          <w:u w:val="single"/>
          <w:lang w:eastAsia="zh-CN"/>
        </w:rPr>
        <w:t>。</w:t>
      </w:r>
    </w:p>
    <w:p w14:paraId="66BB293B">
      <w:pPr>
        <w:spacing w:line="360" w:lineRule="auto"/>
        <w:ind w:left="39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14.4.2付款计划表的编制与审批</w:t>
      </w:r>
    </w:p>
    <w:p w14:paraId="3529B2AC">
      <w:pPr>
        <w:spacing w:line="360" w:lineRule="auto"/>
        <w:ind w:left="3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付款计划表的编制：</w:t>
      </w:r>
      <w:r>
        <w:rPr>
          <w:rFonts w:hint="eastAsia" w:ascii="宋体" w:hAnsi="宋体" w:eastAsia="宋体" w:cs="宋体"/>
          <w:spacing w:val="-1"/>
          <w:sz w:val="24"/>
          <w:szCs w:val="24"/>
          <w:u w:val="single"/>
          <w:lang w:eastAsia="zh-CN"/>
        </w:rPr>
        <w:t>。</w:t>
      </w:r>
    </w:p>
    <w:p w14:paraId="1BB83C17">
      <w:pPr>
        <w:spacing w:line="360" w:lineRule="auto"/>
        <w:ind w:left="396"/>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14.5竣工结算</w:t>
      </w:r>
    </w:p>
    <w:p w14:paraId="05E5FC66">
      <w:pPr>
        <w:spacing w:line="360" w:lineRule="auto"/>
        <w:ind w:left="396"/>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14.5.1竣工结算申请</w:t>
      </w:r>
    </w:p>
    <w:p w14:paraId="631097D0">
      <w:pPr>
        <w:spacing w:line="360" w:lineRule="auto"/>
        <w:ind w:left="3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承包人提交竣工结算申请的时间：</w:t>
      </w:r>
      <w:r>
        <w:rPr>
          <w:rFonts w:hint="eastAsia" w:ascii="宋体" w:hAnsi="宋体" w:eastAsia="宋体" w:cs="宋体"/>
          <w:sz w:val="24"/>
          <w:szCs w:val="24"/>
          <w:u w:val="single"/>
          <w:lang w:eastAsia="zh-CN"/>
        </w:rPr>
        <w:t>。</w:t>
      </w:r>
    </w:p>
    <w:p w14:paraId="0E9D00B3">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竣工结算申请的资料清单和份数：</w:t>
      </w:r>
      <w:r>
        <w:rPr>
          <w:rFonts w:hint="eastAsia" w:ascii="宋体" w:hAnsi="宋体" w:eastAsia="宋体" w:cs="宋体"/>
          <w:sz w:val="24"/>
          <w:szCs w:val="24"/>
          <w:u w:val="single"/>
          <w:lang w:eastAsia="zh-CN"/>
        </w:rPr>
        <w:t>。</w:t>
      </w:r>
    </w:p>
    <w:p w14:paraId="3830895A">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竣工结算申请单的内容应包括：</w:t>
      </w:r>
      <w:r>
        <w:rPr>
          <w:rFonts w:hint="eastAsia" w:ascii="宋体" w:hAnsi="宋体" w:eastAsia="宋体" w:cs="宋体"/>
          <w:sz w:val="24"/>
          <w:szCs w:val="24"/>
          <w:u w:val="single"/>
          <w:lang w:eastAsia="zh-CN"/>
        </w:rPr>
        <w:t>。</w:t>
      </w:r>
    </w:p>
    <w:p w14:paraId="39120F9F">
      <w:pPr>
        <w:spacing w:line="360" w:lineRule="auto"/>
        <w:ind w:left="396"/>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14.5.2竣工结算审核</w:t>
      </w:r>
    </w:p>
    <w:p w14:paraId="04EE1D02">
      <w:pPr>
        <w:spacing w:line="360" w:lineRule="auto"/>
        <w:ind w:left="384"/>
        <w:rPr>
          <w:rFonts w:hint="eastAsia" w:ascii="宋体" w:hAnsi="宋体" w:eastAsia="宋体" w:cs="宋体"/>
          <w:sz w:val="24"/>
          <w:szCs w:val="24"/>
          <w:lang w:eastAsia="zh-CN"/>
        </w:rPr>
      </w:pPr>
      <w:r>
        <w:rPr>
          <w:rFonts w:hint="eastAsia" w:ascii="宋体" w:hAnsi="宋体" w:eastAsia="宋体" w:cs="宋体"/>
          <w:sz w:val="24"/>
          <w:szCs w:val="24"/>
          <w:lang w:eastAsia="zh-CN"/>
        </w:rPr>
        <w:t>发包人审批竣工付款申请单的期限：</w:t>
      </w:r>
      <w:r>
        <w:rPr>
          <w:rFonts w:hint="eastAsia" w:ascii="宋体" w:hAnsi="宋体" w:eastAsia="宋体" w:cs="宋体"/>
          <w:sz w:val="24"/>
          <w:szCs w:val="24"/>
          <w:u w:val="single"/>
          <w:lang w:eastAsia="zh-CN"/>
        </w:rPr>
        <w:t>。</w:t>
      </w:r>
    </w:p>
    <w:p w14:paraId="3DDB8BD3">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发包人完成竣工付款的期限：</w:t>
      </w:r>
      <w:r>
        <w:rPr>
          <w:rFonts w:hint="eastAsia" w:ascii="宋体" w:hAnsi="宋体" w:eastAsia="宋体" w:cs="宋体"/>
          <w:sz w:val="24"/>
          <w:szCs w:val="24"/>
          <w:u w:val="single"/>
          <w:lang w:eastAsia="zh-CN"/>
        </w:rPr>
        <w:t>。</w:t>
      </w:r>
    </w:p>
    <w:p w14:paraId="2A8FFD0A">
      <w:pPr>
        <w:spacing w:line="360" w:lineRule="auto"/>
        <w:ind w:left="3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关于竣工付款证书异议部分复核的方式和程</w:t>
      </w:r>
      <w:r>
        <w:rPr>
          <w:rFonts w:hint="eastAsia" w:ascii="宋体" w:hAnsi="宋体" w:eastAsia="宋体" w:cs="宋体"/>
          <w:sz w:val="24"/>
          <w:szCs w:val="24"/>
          <w:lang w:eastAsia="zh-CN"/>
        </w:rPr>
        <w:t>序：</w:t>
      </w:r>
      <w:r>
        <w:rPr>
          <w:rFonts w:hint="eastAsia" w:ascii="宋体" w:hAnsi="宋体" w:eastAsia="宋体" w:cs="宋体"/>
          <w:sz w:val="24"/>
          <w:szCs w:val="24"/>
          <w:u w:val="single"/>
          <w:lang w:eastAsia="zh-CN"/>
        </w:rPr>
        <w:t>。</w:t>
      </w:r>
    </w:p>
    <w:p w14:paraId="70EB24DF">
      <w:pPr>
        <w:spacing w:line="360" w:lineRule="auto"/>
        <w:ind w:left="396"/>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14.6质量保证金</w:t>
      </w:r>
    </w:p>
    <w:p w14:paraId="07F280B7">
      <w:pPr>
        <w:spacing w:line="360" w:lineRule="auto"/>
        <w:ind w:left="396"/>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14.6.1承包人提供质量保证金的方式</w:t>
      </w:r>
    </w:p>
    <w:p w14:paraId="7D40B023">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质量保证金采用以下第</w:t>
      </w:r>
      <w:r>
        <w:rPr>
          <w:rFonts w:hint="eastAsia" w:ascii="宋体" w:hAnsi="宋体" w:eastAsia="宋体" w:cs="宋体"/>
          <w:spacing w:val="-1"/>
          <w:sz w:val="24"/>
          <w:szCs w:val="24"/>
          <w:u w:val="single"/>
          <w:lang w:eastAsia="zh-CN"/>
        </w:rPr>
        <w:t>（1）或（2）或（3）</w:t>
      </w:r>
      <w:r>
        <w:rPr>
          <w:rFonts w:hint="eastAsia" w:ascii="宋体" w:hAnsi="宋体" w:eastAsia="宋体" w:cs="宋体"/>
          <w:spacing w:val="-1"/>
          <w:sz w:val="24"/>
          <w:szCs w:val="24"/>
          <w:lang w:eastAsia="zh-CN"/>
        </w:rPr>
        <w:t>种方式：</w:t>
      </w:r>
    </w:p>
    <w:p w14:paraId="35B22FBE">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（1）工程质量保证担保，保证金额为：</w:t>
      </w:r>
      <w:r>
        <w:rPr>
          <w:rFonts w:hint="eastAsia" w:ascii="宋体" w:hAnsi="宋体" w:eastAsia="宋体" w:cs="宋体"/>
          <w:spacing w:val="-1"/>
          <w:sz w:val="24"/>
          <w:szCs w:val="24"/>
          <w:u w:val="single"/>
          <w:lang w:eastAsia="zh-CN"/>
        </w:rPr>
        <w:t>2%</w:t>
      </w:r>
      <w:r>
        <w:rPr>
          <w:rFonts w:hint="eastAsia" w:ascii="宋体" w:hAnsi="宋体" w:eastAsia="宋体" w:cs="宋体"/>
          <w:spacing w:val="-1"/>
          <w:sz w:val="24"/>
          <w:szCs w:val="24"/>
          <w:lang w:eastAsia="zh-CN"/>
        </w:rPr>
        <w:t>；</w:t>
      </w:r>
    </w:p>
    <w:p w14:paraId="0FDE5DC6">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1"/>
          <w:sz w:val="24"/>
          <w:szCs w:val="24"/>
          <w:u w:val="single"/>
          <w:lang w:eastAsia="zh-CN"/>
        </w:rPr>
        <w:t>2</w:t>
      </w:r>
      <w:r>
        <w:rPr>
          <w:rFonts w:hint="eastAsia" w:ascii="宋体" w:hAnsi="宋体" w:eastAsia="宋体" w:cs="宋体"/>
          <w:spacing w:val="-1"/>
          <w:sz w:val="24"/>
          <w:szCs w:val="24"/>
          <w:lang w:eastAsia="zh-CN"/>
        </w:rPr>
        <w:t>%的工程款；</w:t>
      </w:r>
    </w:p>
    <w:p w14:paraId="60C02EEC">
      <w:pPr>
        <w:spacing w:line="360" w:lineRule="auto"/>
        <w:ind w:left="386"/>
        <w:rPr>
          <w:rFonts w:hint="eastAsia" w:ascii="宋体" w:hAnsi="宋体" w:eastAsia="宋体" w:cs="宋体"/>
          <w:spacing w:val="-1"/>
          <w:sz w:val="24"/>
          <w:szCs w:val="24"/>
          <w:u w:val="single"/>
          <w:lang w:eastAsia="zh-CN"/>
        </w:rPr>
      </w:pPr>
      <w:r>
        <w:rPr>
          <w:rFonts w:hint="eastAsia" w:ascii="宋体" w:hAnsi="宋体" w:eastAsia="宋体" w:cs="宋体"/>
          <w:sz w:val="24"/>
          <w:szCs w:val="24"/>
          <w:lang w:eastAsia="zh-CN"/>
        </w:rPr>
        <w:t>（3）其他方式：</w:t>
      </w:r>
      <w:r>
        <w:rPr>
          <w:rFonts w:hint="eastAsia" w:ascii="宋体" w:hAnsi="宋体" w:eastAsia="宋体" w:cs="宋体"/>
          <w:sz w:val="24"/>
          <w:szCs w:val="24"/>
          <w:u w:val="single"/>
          <w:lang w:eastAsia="zh-CN"/>
        </w:rPr>
        <w:t>银行转账（汇款）或银行保函或担保</w:t>
      </w:r>
      <w:r>
        <w:rPr>
          <w:rFonts w:hint="eastAsia" w:ascii="宋体" w:hAnsi="宋体" w:eastAsia="宋体" w:cs="宋体"/>
          <w:spacing w:val="-1"/>
          <w:sz w:val="24"/>
          <w:szCs w:val="24"/>
          <w:u w:val="single"/>
          <w:lang w:eastAsia="zh-CN"/>
        </w:rPr>
        <w:t>机构担保或保证保险</w:t>
      </w:r>
    </w:p>
    <w:p w14:paraId="47D50434">
      <w:pPr>
        <w:spacing w:line="360" w:lineRule="auto"/>
        <w:ind w:left="386"/>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color w:val="auto"/>
          <w:sz w:val="24"/>
          <w:szCs w:val="24"/>
          <w:highlight w:val="none"/>
          <w:lang w:eastAsia="zh-CN"/>
        </w:rPr>
        <w:t>（4）质保期：2年</w:t>
      </w:r>
    </w:p>
    <w:p w14:paraId="520F0B04">
      <w:pPr>
        <w:spacing w:line="360" w:lineRule="auto"/>
        <w:ind w:left="396"/>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14.6.2质量保证金的预留</w:t>
      </w:r>
    </w:p>
    <w:p w14:paraId="26268746">
      <w:pPr>
        <w:spacing w:line="360" w:lineRule="auto"/>
        <w:ind w:left="3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质量保证金的预留采取以下第</w:t>
      </w:r>
      <w:r>
        <w:rPr>
          <w:rFonts w:hint="eastAsia" w:ascii="宋体" w:hAnsi="宋体" w:eastAsia="宋体" w:cs="宋体"/>
          <w:spacing w:val="-2"/>
          <w:sz w:val="24"/>
          <w:szCs w:val="24"/>
          <w:u w:val="single"/>
          <w:lang w:eastAsia="zh-CN"/>
        </w:rPr>
        <w:t>（2）或（3）</w:t>
      </w:r>
      <w:r>
        <w:rPr>
          <w:rFonts w:hint="eastAsia" w:ascii="宋体" w:hAnsi="宋体" w:eastAsia="宋体" w:cs="宋体"/>
          <w:spacing w:val="-2"/>
          <w:sz w:val="24"/>
          <w:szCs w:val="24"/>
          <w:lang w:eastAsia="zh-CN"/>
        </w:rPr>
        <w:t>种方式：</w:t>
      </w:r>
    </w:p>
    <w:p w14:paraId="2F2054B5">
      <w:pPr>
        <w:spacing w:line="360" w:lineRule="auto"/>
        <w:ind w:left="16" w:right="11" w:firstLine="37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（1）在支付工程进度款时逐次预留的质量保证金的比例：/，在此情形下，质量保证金</w:t>
      </w:r>
      <w:r>
        <w:rPr>
          <w:rFonts w:hint="eastAsia" w:ascii="宋体" w:hAnsi="宋体" w:eastAsia="宋体" w:cs="宋体"/>
          <w:spacing w:val="-2"/>
          <w:sz w:val="24"/>
          <w:szCs w:val="24"/>
          <w:lang w:eastAsia="zh-CN"/>
        </w:rPr>
        <w:t>的计算基数不包括预付款的支付、扣回以及价格调整的金额；</w:t>
      </w:r>
    </w:p>
    <w:p w14:paraId="065E7A26">
      <w:pPr>
        <w:spacing w:line="360" w:lineRule="auto"/>
        <w:ind w:left="22" w:right="28" w:firstLine="36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（2）工程竣工结算时一次性预留专用合同条件第14.6.1项第（2）目约定的工程款预留</w:t>
      </w:r>
      <w:r>
        <w:rPr>
          <w:rFonts w:hint="eastAsia" w:ascii="宋体" w:hAnsi="宋体" w:eastAsia="宋体" w:cs="宋体"/>
          <w:spacing w:val="-6"/>
          <w:sz w:val="24"/>
          <w:szCs w:val="24"/>
          <w:lang w:eastAsia="zh-CN"/>
        </w:rPr>
        <w:t>比例的质量保证金；</w:t>
      </w:r>
    </w:p>
    <w:p w14:paraId="7180C7D6">
      <w:pPr>
        <w:spacing w:line="360" w:lineRule="auto"/>
        <w:ind w:left="386"/>
        <w:rPr>
          <w:rFonts w:hint="eastAsia" w:ascii="宋体" w:hAnsi="宋体" w:eastAsia="宋体" w:cs="宋体"/>
          <w:sz w:val="24"/>
          <w:szCs w:val="24"/>
          <w:lang w:eastAsia="zh-CN"/>
        </w:rPr>
      </w:pPr>
      <w:r>
        <w:rPr>
          <w:rFonts w:hint="eastAsia" w:ascii="宋体" w:hAnsi="宋体" w:eastAsia="宋体" w:cs="宋体"/>
          <w:sz w:val="24"/>
          <w:szCs w:val="24"/>
          <w:lang w:eastAsia="zh-CN"/>
        </w:rPr>
        <w:t>（3）其他预留方式：</w:t>
      </w:r>
      <w:r>
        <w:rPr>
          <w:rFonts w:hint="eastAsia" w:ascii="宋体" w:hAnsi="宋体" w:eastAsia="宋体" w:cs="宋体"/>
          <w:sz w:val="24"/>
          <w:szCs w:val="24"/>
          <w:u w:val="single"/>
          <w:lang w:eastAsia="zh-CN"/>
        </w:rPr>
        <w:t>银行转账（汇款）或银行保函或</w:t>
      </w:r>
      <w:r>
        <w:rPr>
          <w:rFonts w:hint="eastAsia" w:ascii="宋体" w:hAnsi="宋体" w:eastAsia="宋体" w:cs="宋体"/>
          <w:spacing w:val="-1"/>
          <w:sz w:val="24"/>
          <w:szCs w:val="24"/>
          <w:u w:val="single"/>
          <w:lang w:eastAsia="zh-CN"/>
        </w:rPr>
        <w:t>担保机构担保或保证保险。</w:t>
      </w:r>
    </w:p>
    <w:p w14:paraId="747F5A3F">
      <w:pPr>
        <w:spacing w:line="360" w:lineRule="auto"/>
        <w:ind w:left="2" w:firstLine="38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关于质量保证金的补充约定：</w:t>
      </w:r>
      <w:r>
        <w:rPr>
          <w:rFonts w:hint="eastAsia" w:ascii="宋体" w:hAnsi="宋体" w:eastAsia="宋体" w:cs="宋体"/>
          <w:sz w:val="24"/>
          <w:szCs w:val="24"/>
          <w:u w:val="single"/>
          <w:lang w:eastAsia="zh-CN"/>
        </w:rPr>
        <w:t>工程无质量问题，缺陷责</w:t>
      </w:r>
      <w:r>
        <w:rPr>
          <w:rFonts w:hint="eastAsia" w:ascii="宋体" w:hAnsi="宋体" w:eastAsia="宋体" w:cs="宋体"/>
          <w:spacing w:val="-1"/>
          <w:sz w:val="24"/>
          <w:szCs w:val="24"/>
          <w:u w:val="single"/>
          <w:lang w:eastAsia="zh-CN"/>
        </w:rPr>
        <w:t>任期满后，承包人书面申请，经发包人审核后，将相应金额的质量保证金本息返还给承包人或解除承包人的担保保函，但并不免除承包人在质保期内的保修责任。</w:t>
      </w:r>
    </w:p>
    <w:p w14:paraId="54B60651">
      <w:pPr>
        <w:spacing w:line="360" w:lineRule="auto"/>
        <w:ind w:left="396"/>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14.7最终结清</w:t>
      </w:r>
    </w:p>
    <w:p w14:paraId="661D2CC3">
      <w:pPr>
        <w:spacing w:line="360" w:lineRule="auto"/>
        <w:ind w:left="396"/>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14.7.1最终结清申请单</w:t>
      </w:r>
    </w:p>
    <w:p w14:paraId="084B1ECB">
      <w:pPr>
        <w:spacing w:line="360" w:lineRule="auto"/>
        <w:ind w:left="39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当事人双方关于最终结清申请的其他约定：</w:t>
      </w:r>
      <w:r>
        <w:rPr>
          <w:rFonts w:hint="eastAsia" w:ascii="宋体" w:hAnsi="宋体" w:eastAsia="宋体" w:cs="宋体"/>
          <w:spacing w:val="-1"/>
          <w:sz w:val="24"/>
          <w:szCs w:val="24"/>
          <w:u w:val="single"/>
          <w:lang w:eastAsia="zh-CN"/>
        </w:rPr>
        <w:t>无。</w:t>
      </w:r>
    </w:p>
    <w:p w14:paraId="44E8FF14">
      <w:pPr>
        <w:spacing w:line="360" w:lineRule="auto"/>
        <w:ind w:left="398"/>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14.7.2最终结清证书和支付</w:t>
      </w:r>
    </w:p>
    <w:p w14:paraId="398E77FC">
      <w:pPr>
        <w:spacing w:line="360" w:lineRule="auto"/>
        <w:ind w:left="39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当事人双方关于最终结清支付的其他约定：</w:t>
      </w:r>
      <w:r>
        <w:rPr>
          <w:rFonts w:hint="eastAsia" w:ascii="宋体" w:hAnsi="宋体" w:eastAsia="宋体" w:cs="宋体"/>
          <w:spacing w:val="-1"/>
          <w:sz w:val="24"/>
          <w:szCs w:val="24"/>
          <w:u w:val="single"/>
          <w:lang w:eastAsia="zh-CN"/>
        </w:rPr>
        <w:t>无。</w:t>
      </w:r>
    </w:p>
    <w:p w14:paraId="299DD098">
      <w:pPr>
        <w:spacing w:line="360" w:lineRule="auto"/>
        <w:ind w:left="1"/>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第15条违约</w:t>
      </w:r>
    </w:p>
    <w:p w14:paraId="26582D17">
      <w:pPr>
        <w:spacing w:line="360" w:lineRule="auto"/>
        <w:ind w:left="398"/>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15.1发包人违约</w:t>
      </w:r>
    </w:p>
    <w:p w14:paraId="1FC684FA">
      <w:pPr>
        <w:spacing w:line="360" w:lineRule="auto"/>
        <w:ind w:left="3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15.1.1发包人违约的情形</w:t>
      </w:r>
    </w:p>
    <w:p w14:paraId="1DE83873">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发包人违约的其他情形</w:t>
      </w:r>
      <w:r>
        <w:rPr>
          <w:rFonts w:hint="eastAsia" w:ascii="宋体" w:hAnsi="宋体" w:eastAsia="宋体" w:cs="宋体"/>
          <w:spacing w:val="-1"/>
          <w:sz w:val="24"/>
          <w:szCs w:val="24"/>
          <w:u w:val="single"/>
          <w:lang w:eastAsia="zh-CN"/>
        </w:rPr>
        <w:t>/。</w:t>
      </w:r>
    </w:p>
    <w:p w14:paraId="70CA4E25">
      <w:pPr>
        <w:spacing w:line="360" w:lineRule="auto"/>
        <w:ind w:left="3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15.1.3发包人违约的责任</w:t>
      </w:r>
    </w:p>
    <w:p w14:paraId="1C24CE64">
      <w:pPr>
        <w:spacing w:line="360" w:lineRule="auto"/>
        <w:ind w:left="38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发包人违约责任的承担方式和计算方法：</w:t>
      </w:r>
      <w:r>
        <w:rPr>
          <w:rFonts w:hint="eastAsia" w:ascii="宋体" w:hAnsi="宋体" w:eastAsia="宋体" w:cs="宋体"/>
          <w:spacing w:val="-1"/>
          <w:sz w:val="24"/>
          <w:szCs w:val="24"/>
          <w:u w:val="single"/>
          <w:lang w:eastAsia="zh-CN"/>
        </w:rPr>
        <w:t>双方协商。</w:t>
      </w:r>
    </w:p>
    <w:p w14:paraId="4B0E8A00">
      <w:pPr>
        <w:spacing w:line="360" w:lineRule="auto"/>
        <w:ind w:left="398"/>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15.2承包人违约</w:t>
      </w:r>
    </w:p>
    <w:p w14:paraId="07D0FA45">
      <w:pPr>
        <w:spacing w:line="360" w:lineRule="auto"/>
        <w:ind w:left="398"/>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15.2.1承包人违约的情形</w:t>
      </w:r>
    </w:p>
    <w:p w14:paraId="771DDB7D">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承包人违约的其他情形：</w:t>
      </w:r>
      <w:r>
        <w:rPr>
          <w:rFonts w:hint="eastAsia" w:ascii="宋体" w:hAnsi="宋体" w:eastAsia="宋体" w:cs="宋体"/>
          <w:spacing w:val="-1"/>
          <w:sz w:val="24"/>
          <w:szCs w:val="24"/>
          <w:u w:val="single"/>
          <w:lang w:eastAsia="zh-CN"/>
        </w:rPr>
        <w:t>违反其他规定的。</w:t>
      </w:r>
    </w:p>
    <w:p w14:paraId="4F7A53FA">
      <w:pPr>
        <w:spacing w:line="360" w:lineRule="auto"/>
        <w:ind w:left="398"/>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15.2.2通知改正</w:t>
      </w:r>
    </w:p>
    <w:p w14:paraId="22F48A8B">
      <w:pPr>
        <w:spacing w:line="360" w:lineRule="auto"/>
        <w:ind w:left="3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工程师通知承包人改正的合理期限是：</w:t>
      </w:r>
      <w:r>
        <w:rPr>
          <w:rFonts w:hint="eastAsia" w:ascii="宋体" w:hAnsi="宋体" w:eastAsia="宋体" w:cs="宋体"/>
          <w:spacing w:val="-1"/>
          <w:sz w:val="24"/>
          <w:szCs w:val="24"/>
          <w:u w:val="single"/>
          <w:lang w:eastAsia="zh-CN"/>
        </w:rPr>
        <w:t>执行通用条款。</w:t>
      </w:r>
    </w:p>
    <w:p w14:paraId="1A73BF7B">
      <w:pPr>
        <w:spacing w:line="360" w:lineRule="auto"/>
        <w:ind w:left="398"/>
        <w:outlineLvl w:val="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15.2.3承包人违约的责任</w:t>
      </w:r>
    </w:p>
    <w:p w14:paraId="65858203">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承包人违约责任的承担方式和计算方法：</w:t>
      </w:r>
    </w:p>
    <w:p w14:paraId="4DD98CFF">
      <w:pPr>
        <w:spacing w:line="360" w:lineRule="auto"/>
        <w:ind w:firstLine="388"/>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1）施工单位项目部要加强工程质量管理，严格执行“三检”制度。经监理验收分项工</w:t>
      </w:r>
      <w:r>
        <w:rPr>
          <w:rFonts w:hint="eastAsia" w:ascii="宋体" w:hAnsi="宋体" w:eastAsia="宋体" w:cs="宋体"/>
          <w:spacing w:val="-5"/>
          <w:sz w:val="24"/>
          <w:szCs w:val="24"/>
          <w:u w:val="single"/>
          <w:lang w:eastAsia="zh-CN"/>
        </w:rPr>
        <w:t>程不合格，承包人应承担1000元／次违约金。经监理验</w:t>
      </w:r>
      <w:r>
        <w:rPr>
          <w:rFonts w:hint="eastAsia" w:ascii="宋体" w:hAnsi="宋体" w:eastAsia="宋体" w:cs="宋体"/>
          <w:spacing w:val="-6"/>
          <w:sz w:val="24"/>
          <w:szCs w:val="24"/>
          <w:u w:val="single"/>
          <w:lang w:eastAsia="zh-CN"/>
        </w:rPr>
        <w:t>收分部工程不合格，承包人应承担2000</w:t>
      </w:r>
      <w:r>
        <w:rPr>
          <w:rFonts w:hint="eastAsia" w:ascii="宋体" w:hAnsi="宋体" w:eastAsia="宋体" w:cs="宋体"/>
          <w:spacing w:val="-1"/>
          <w:sz w:val="24"/>
          <w:szCs w:val="24"/>
          <w:u w:val="single"/>
          <w:lang w:eastAsia="zh-CN"/>
        </w:rPr>
        <w:t>元／次违约金。验收不合格，承包人擅自强行施工，承包人应承担5000元／次违约金。建设单位发现，分部、分项、工序检验批工程未及时报验的，每发现一次，承包人应承担2000元</w:t>
      </w:r>
      <w:r>
        <w:rPr>
          <w:rFonts w:hint="eastAsia" w:ascii="宋体" w:hAnsi="宋体" w:eastAsia="宋体" w:cs="宋体"/>
          <w:spacing w:val="16"/>
          <w:sz w:val="24"/>
          <w:szCs w:val="24"/>
          <w:u w:val="single"/>
          <w:lang w:eastAsia="zh-CN"/>
        </w:rPr>
        <w:t>/次违约金。</w:t>
      </w:r>
    </w:p>
    <w:p w14:paraId="2E02FFA9">
      <w:pPr>
        <w:spacing w:line="360" w:lineRule="auto"/>
        <w:ind w:left="5" w:firstLine="3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2）现场使用材料的规格、型号必须满足施工合同和图纸的要求，如被发包人或监理人</w:t>
      </w:r>
      <w:r>
        <w:rPr>
          <w:rFonts w:hint="eastAsia" w:ascii="宋体" w:hAnsi="宋体" w:eastAsia="宋体" w:cs="宋体"/>
          <w:spacing w:val="-1"/>
          <w:sz w:val="24"/>
          <w:szCs w:val="24"/>
          <w:u w:val="single"/>
          <w:lang w:eastAsia="zh-CN"/>
        </w:rPr>
        <w:t>发现已使用的材料有规格、型号不相符的，每发现一次，承包人应承担20000元/次违约金</w:t>
      </w:r>
      <w:r>
        <w:rPr>
          <w:rFonts w:hint="eastAsia" w:ascii="宋体" w:hAnsi="宋体" w:eastAsia="宋体" w:cs="宋体"/>
          <w:spacing w:val="4"/>
          <w:sz w:val="24"/>
          <w:szCs w:val="24"/>
          <w:u w:val="single"/>
          <w:lang w:eastAsia="zh-CN"/>
        </w:rPr>
        <w:t>,并负责整改且承担由此导致的工期和费用损失。</w:t>
      </w:r>
    </w:p>
    <w:p w14:paraId="4416B4E3">
      <w:pPr>
        <w:tabs>
          <w:tab w:val="left" w:pos="494"/>
        </w:tabs>
        <w:spacing w:line="360" w:lineRule="auto"/>
        <w:ind w:left="2" w:right="2" w:firstLine="372"/>
        <w:rPr>
          <w:rFonts w:hint="eastAsia" w:ascii="宋体" w:hAnsi="宋体" w:eastAsia="宋体" w:cs="宋体"/>
          <w:sz w:val="24"/>
          <w:szCs w:val="24"/>
          <w:lang w:eastAsia="zh-CN"/>
        </w:rPr>
      </w:pPr>
      <w:r>
        <w:rPr>
          <w:rFonts w:hint="eastAsia" w:ascii="宋体" w:hAnsi="宋体" w:eastAsia="宋体" w:cs="宋体"/>
          <w:spacing w:val="-5"/>
          <w:sz w:val="24"/>
          <w:szCs w:val="24"/>
          <w:u w:val="single"/>
          <w:lang w:eastAsia="zh-CN"/>
        </w:rPr>
        <w:t>（3）承包人在发包人组织的检查中，经发</w:t>
      </w:r>
      <w:r>
        <w:rPr>
          <w:rFonts w:hint="eastAsia" w:ascii="宋体" w:hAnsi="宋体" w:eastAsia="宋体" w:cs="宋体"/>
          <w:spacing w:val="-6"/>
          <w:sz w:val="24"/>
          <w:szCs w:val="24"/>
          <w:u w:val="single"/>
          <w:lang w:eastAsia="zh-CN"/>
        </w:rPr>
        <w:t>包人发现现场存在安全文明施工或质量等问题</w:t>
      </w:r>
      <w:r>
        <w:rPr>
          <w:rFonts w:hint="eastAsia" w:ascii="宋体" w:hAnsi="宋体" w:eastAsia="宋体" w:cs="宋体"/>
          <w:spacing w:val="-1"/>
          <w:sz w:val="24"/>
          <w:szCs w:val="24"/>
          <w:u w:val="single"/>
          <w:lang w:eastAsia="zh-CN"/>
        </w:rPr>
        <w:t>而被发包人通报批评的，每通报一次，承包人需向发包人承担2000元违约金；对拒不整改</w:t>
      </w:r>
      <w:r>
        <w:rPr>
          <w:rFonts w:hint="eastAsia" w:ascii="宋体" w:hAnsi="宋体" w:eastAsia="宋体" w:cs="宋体"/>
          <w:sz w:val="24"/>
          <w:szCs w:val="24"/>
          <w:u w:val="single"/>
          <w:lang w:eastAsia="zh-CN"/>
        </w:rPr>
        <w:t>或整改不到位的，每次课以10000元违约金并约谈承</w:t>
      </w:r>
      <w:r>
        <w:rPr>
          <w:rFonts w:hint="eastAsia" w:ascii="宋体" w:hAnsi="宋体" w:eastAsia="宋体" w:cs="宋体"/>
          <w:spacing w:val="-1"/>
          <w:sz w:val="24"/>
          <w:szCs w:val="24"/>
          <w:u w:val="single"/>
          <w:lang w:eastAsia="zh-CN"/>
        </w:rPr>
        <w:t>包人法人代表。</w:t>
      </w:r>
    </w:p>
    <w:p w14:paraId="36262EAC">
      <w:pPr>
        <w:tabs>
          <w:tab w:val="left" w:pos="494"/>
        </w:tabs>
        <w:spacing w:line="360" w:lineRule="auto"/>
        <w:ind w:firstLine="374"/>
        <w:rPr>
          <w:rFonts w:hint="eastAsia" w:ascii="宋体" w:hAnsi="宋体" w:eastAsia="宋体" w:cs="宋体"/>
          <w:sz w:val="24"/>
          <w:szCs w:val="24"/>
          <w:lang w:eastAsia="zh-CN"/>
        </w:rPr>
      </w:pPr>
      <w:r>
        <w:rPr>
          <w:rFonts w:hint="eastAsia" w:ascii="宋体" w:hAnsi="宋体" w:eastAsia="宋体" w:cs="宋体"/>
          <w:spacing w:val="-5"/>
          <w:sz w:val="24"/>
          <w:szCs w:val="24"/>
          <w:u w:val="single"/>
          <w:lang w:eastAsia="zh-CN"/>
        </w:rPr>
        <w:t>（4）经质监站验收不通过，每次承包人需向发包人承担2000元违约金；被主管部</w:t>
      </w:r>
      <w:r>
        <w:rPr>
          <w:rFonts w:hint="eastAsia" w:ascii="宋体" w:hAnsi="宋体" w:eastAsia="宋体" w:cs="宋体"/>
          <w:spacing w:val="-6"/>
          <w:sz w:val="24"/>
          <w:szCs w:val="24"/>
          <w:u w:val="single"/>
          <w:lang w:eastAsia="zh-CN"/>
        </w:rPr>
        <w:t>门通</w:t>
      </w:r>
      <w:r>
        <w:rPr>
          <w:rFonts w:hint="eastAsia" w:ascii="宋体" w:hAnsi="宋体" w:eastAsia="宋体" w:cs="宋体"/>
          <w:sz w:val="24"/>
          <w:szCs w:val="24"/>
          <w:u w:val="single"/>
          <w:lang w:eastAsia="zh-CN"/>
        </w:rPr>
        <w:t>报批评的，每次承包人需向发包人承担50000元</w:t>
      </w:r>
      <w:r>
        <w:rPr>
          <w:rFonts w:hint="eastAsia" w:ascii="宋体" w:hAnsi="宋体" w:eastAsia="宋体" w:cs="宋体"/>
          <w:spacing w:val="-1"/>
          <w:sz w:val="24"/>
          <w:szCs w:val="24"/>
          <w:u w:val="single"/>
          <w:lang w:eastAsia="zh-CN"/>
        </w:rPr>
        <w:t>违约金。</w:t>
      </w:r>
    </w:p>
    <w:p w14:paraId="71D95DE3">
      <w:pPr>
        <w:tabs>
          <w:tab w:val="left" w:pos="494"/>
        </w:tabs>
        <w:spacing w:line="360" w:lineRule="auto"/>
        <w:ind w:left="23" w:firstLine="351"/>
        <w:rPr>
          <w:rFonts w:hint="eastAsia" w:ascii="宋体" w:hAnsi="宋体" w:eastAsia="宋体" w:cs="宋体"/>
          <w:sz w:val="24"/>
          <w:szCs w:val="24"/>
          <w:lang w:eastAsia="zh-CN"/>
        </w:rPr>
      </w:pPr>
      <w:r>
        <w:rPr>
          <w:rFonts w:hint="eastAsia" w:ascii="宋体" w:hAnsi="宋体" w:eastAsia="宋体" w:cs="宋体"/>
          <w:spacing w:val="-5"/>
          <w:sz w:val="24"/>
          <w:szCs w:val="24"/>
          <w:u w:val="single"/>
          <w:lang w:eastAsia="zh-CN"/>
        </w:rPr>
        <w:t>（5）因安全文明施工方面存在问题而被主管部门</w:t>
      </w:r>
      <w:r>
        <w:rPr>
          <w:rFonts w:hint="eastAsia" w:ascii="宋体" w:hAnsi="宋体" w:eastAsia="宋体" w:cs="宋体"/>
          <w:spacing w:val="-6"/>
          <w:sz w:val="24"/>
          <w:szCs w:val="24"/>
          <w:u w:val="single"/>
          <w:lang w:eastAsia="zh-CN"/>
        </w:rPr>
        <w:t>书面通报批评的，每通报一次承包人需</w:t>
      </w:r>
      <w:r>
        <w:rPr>
          <w:rFonts w:hint="eastAsia" w:ascii="宋体" w:hAnsi="宋体" w:eastAsia="宋体" w:cs="宋体"/>
          <w:spacing w:val="-1"/>
          <w:sz w:val="24"/>
          <w:szCs w:val="24"/>
          <w:u w:val="single"/>
          <w:lang w:eastAsia="zh-CN"/>
        </w:rPr>
        <w:t>向发包人承担50000元违约金上述违约金在工程款支付中予以扣除。</w:t>
      </w:r>
    </w:p>
    <w:p w14:paraId="3AF3D2C3">
      <w:pPr>
        <w:spacing w:line="360" w:lineRule="auto"/>
        <w:ind w:left="1"/>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第16条合同解除</w:t>
      </w:r>
    </w:p>
    <w:p w14:paraId="36E96213">
      <w:pPr>
        <w:spacing w:line="360" w:lineRule="auto"/>
        <w:ind w:left="398"/>
        <w:outlineLvl w:val="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16.1由发包人解除合同</w:t>
      </w:r>
    </w:p>
    <w:p w14:paraId="32644793">
      <w:pPr>
        <w:spacing w:line="360" w:lineRule="auto"/>
        <w:ind w:left="3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16.1.1因承包人违约解除合同</w:t>
      </w:r>
    </w:p>
    <w:p w14:paraId="4C1A8F9E">
      <w:pPr>
        <w:spacing w:line="360" w:lineRule="auto"/>
        <w:ind w:left="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双方约定可由发包人解除合同的其他事由：</w:t>
      </w:r>
      <w:r>
        <w:rPr>
          <w:rFonts w:hint="eastAsia" w:ascii="宋体" w:hAnsi="宋体" w:eastAsia="宋体" w:cs="宋体"/>
          <w:sz w:val="24"/>
          <w:szCs w:val="24"/>
          <w:u w:val="single"/>
          <w:lang w:eastAsia="zh-CN"/>
        </w:rPr>
        <w:t>/。</w:t>
      </w:r>
    </w:p>
    <w:p w14:paraId="32048999">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16.2由承包人解除合同</w:t>
      </w:r>
    </w:p>
    <w:p w14:paraId="731F8D51">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16.2.1因发包人违约解除合同</w:t>
      </w:r>
    </w:p>
    <w:p w14:paraId="1C7D5B5B">
      <w:pPr>
        <w:spacing w:line="360" w:lineRule="auto"/>
        <w:ind w:left="3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双方约定可由承包人解除合同的其他事由：</w:t>
      </w:r>
      <w:r>
        <w:rPr>
          <w:rFonts w:hint="eastAsia" w:ascii="宋体" w:hAnsi="宋体" w:eastAsia="宋体" w:cs="宋体"/>
          <w:sz w:val="24"/>
          <w:szCs w:val="24"/>
          <w:u w:val="single"/>
          <w:lang w:eastAsia="zh-CN"/>
        </w:rPr>
        <w:t>/。</w:t>
      </w:r>
    </w:p>
    <w:p w14:paraId="10268083">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第17条不可抗力</w:t>
      </w:r>
    </w:p>
    <w:p w14:paraId="301CDBE3">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17.1不可抗力的定义</w:t>
      </w:r>
    </w:p>
    <w:p w14:paraId="5E2C5314">
      <w:pPr>
        <w:spacing w:line="360" w:lineRule="auto"/>
        <w:ind w:left="9" w:right="141" w:firstLine="430"/>
        <w:rPr>
          <w:rFonts w:hint="eastAsia" w:ascii="宋体" w:hAnsi="宋体" w:eastAsia="宋体" w:cs="宋体"/>
          <w:sz w:val="24"/>
          <w:szCs w:val="24"/>
          <w:lang w:eastAsia="zh-CN"/>
        </w:rPr>
      </w:pPr>
      <w:r>
        <w:rPr>
          <w:rFonts w:hint="eastAsia" w:ascii="宋体" w:hAnsi="宋体" w:eastAsia="宋体" w:cs="宋体"/>
          <w:sz w:val="24"/>
          <w:szCs w:val="24"/>
          <w:lang w:eastAsia="zh-CN"/>
        </w:rPr>
        <w:t>除通用合同条件约定的不可抗力事件之外，视为</w:t>
      </w:r>
      <w:r>
        <w:rPr>
          <w:rFonts w:hint="eastAsia" w:ascii="宋体" w:hAnsi="宋体" w:eastAsia="宋体" w:cs="宋体"/>
          <w:spacing w:val="-1"/>
          <w:sz w:val="24"/>
          <w:szCs w:val="24"/>
          <w:lang w:eastAsia="zh-CN"/>
        </w:rPr>
        <w:t>不可抗力的其他情形：</w:t>
      </w:r>
      <w:r>
        <w:rPr>
          <w:rFonts w:hint="eastAsia" w:ascii="宋体" w:hAnsi="宋体" w:eastAsia="宋体" w:cs="宋体"/>
          <w:spacing w:val="-1"/>
          <w:sz w:val="24"/>
          <w:szCs w:val="24"/>
          <w:u w:val="single"/>
          <w:lang w:eastAsia="zh-CN"/>
        </w:rPr>
        <w:t>不可抗力标准参照国家有关规定。</w:t>
      </w:r>
    </w:p>
    <w:p w14:paraId="657C0845">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17.6因不可抗力解除合同</w:t>
      </w:r>
    </w:p>
    <w:p w14:paraId="62562F62">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合同解除后，发包人应当在商定或确定发包人应支付款项后的</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天内</w:t>
      </w:r>
      <w:r>
        <w:rPr>
          <w:rFonts w:hint="eastAsia" w:ascii="宋体" w:hAnsi="宋体" w:eastAsia="宋体" w:cs="宋体"/>
          <w:spacing w:val="-2"/>
          <w:sz w:val="24"/>
          <w:szCs w:val="24"/>
          <w:lang w:eastAsia="zh-CN"/>
        </w:rPr>
        <w:t>完成款项的支付。</w:t>
      </w:r>
    </w:p>
    <w:p w14:paraId="1F64A728">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第18条保险</w:t>
      </w:r>
    </w:p>
    <w:p w14:paraId="736D7A3A">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18.1设计和工程保险</w:t>
      </w:r>
    </w:p>
    <w:p w14:paraId="49F6F4F6">
      <w:pPr>
        <w:spacing w:line="360" w:lineRule="auto"/>
        <w:ind w:left="9" w:right="69" w:firstLine="39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18.1.1双方当事人关于设计和工程保险的特别约定：</w:t>
      </w:r>
      <w:r>
        <w:rPr>
          <w:rFonts w:hint="eastAsia" w:ascii="宋体" w:hAnsi="宋体" w:eastAsia="宋体" w:cs="宋体"/>
          <w:spacing w:val="-3"/>
          <w:sz w:val="24"/>
          <w:szCs w:val="24"/>
          <w:u w:val="single"/>
          <w:lang w:eastAsia="zh-CN"/>
        </w:rPr>
        <w:t>发包人委托承包人投保，因投保产</w:t>
      </w:r>
      <w:r>
        <w:rPr>
          <w:rFonts w:hint="eastAsia" w:ascii="宋体" w:hAnsi="宋体" w:eastAsia="宋体" w:cs="宋体"/>
          <w:sz w:val="24"/>
          <w:szCs w:val="24"/>
          <w:u w:val="single"/>
          <w:lang w:eastAsia="zh-CN"/>
        </w:rPr>
        <w:t>生的保险费和其他相关费用由承包人承担，承包人在投标报价中考虑</w:t>
      </w:r>
      <w:r>
        <w:rPr>
          <w:rFonts w:hint="eastAsia" w:ascii="宋体" w:hAnsi="宋体" w:eastAsia="宋体" w:cs="宋体"/>
          <w:spacing w:val="-1"/>
          <w:sz w:val="24"/>
          <w:szCs w:val="24"/>
          <w:u w:val="single"/>
          <w:lang w:eastAsia="zh-CN"/>
        </w:rPr>
        <w:t>此项费用。</w:t>
      </w:r>
    </w:p>
    <w:p w14:paraId="22205ECE">
      <w:pPr>
        <w:spacing w:line="360" w:lineRule="auto"/>
        <w:ind w:left="10" w:right="69" w:firstLine="39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18.1.2双方当事人关于第三方责任险的特别约定：</w:t>
      </w:r>
      <w:r>
        <w:rPr>
          <w:rFonts w:hint="eastAsia" w:ascii="宋体" w:hAnsi="宋体" w:eastAsia="宋体" w:cs="宋体"/>
          <w:spacing w:val="-3"/>
          <w:sz w:val="24"/>
          <w:szCs w:val="24"/>
          <w:u w:val="single"/>
          <w:lang w:eastAsia="zh-CN"/>
        </w:rPr>
        <w:t>承包人按建设行政主管部门的规定办</w:t>
      </w:r>
      <w:r>
        <w:rPr>
          <w:rFonts w:hint="eastAsia" w:ascii="宋体" w:hAnsi="宋体" w:eastAsia="宋体" w:cs="宋体"/>
          <w:spacing w:val="-2"/>
          <w:sz w:val="24"/>
          <w:szCs w:val="24"/>
          <w:u w:val="single"/>
          <w:lang w:eastAsia="zh-CN"/>
        </w:rPr>
        <w:t>理保险。</w:t>
      </w:r>
    </w:p>
    <w:p w14:paraId="4EE1CBB8">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18.2工伤和意外伤害保险</w:t>
      </w:r>
    </w:p>
    <w:p w14:paraId="4751253D">
      <w:pPr>
        <w:spacing w:line="360" w:lineRule="auto"/>
        <w:ind w:left="405"/>
        <w:rPr>
          <w:rFonts w:hint="eastAsia" w:ascii="宋体" w:hAnsi="宋体" w:eastAsia="宋体" w:cs="宋体"/>
          <w:spacing w:val="-5"/>
          <w:sz w:val="24"/>
          <w:szCs w:val="24"/>
          <w:lang w:eastAsia="zh-CN"/>
        </w:rPr>
      </w:pPr>
      <w:r>
        <w:rPr>
          <w:rFonts w:hint="eastAsia" w:ascii="宋体" w:hAnsi="宋体" w:eastAsia="宋体" w:cs="宋体"/>
          <w:spacing w:val="-3"/>
          <w:sz w:val="24"/>
          <w:szCs w:val="24"/>
          <w:lang w:eastAsia="zh-CN"/>
        </w:rPr>
        <w:t>18.2.3关于工伤保险和意外伤害保险的特别约定：</w:t>
      </w:r>
      <w:r>
        <w:rPr>
          <w:rFonts w:hint="eastAsia" w:ascii="宋体" w:hAnsi="宋体" w:eastAsia="宋体" w:cs="宋体"/>
          <w:spacing w:val="-3"/>
          <w:sz w:val="24"/>
          <w:szCs w:val="24"/>
          <w:u w:val="single"/>
          <w:lang w:eastAsia="zh-CN"/>
        </w:rPr>
        <w:t>按规定办理，相关费用由承包人承担</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w:t>
      </w:r>
    </w:p>
    <w:p w14:paraId="0F0E755F">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18.3货物保险</w:t>
      </w:r>
    </w:p>
    <w:p w14:paraId="38B979AE">
      <w:pPr>
        <w:spacing w:line="360" w:lineRule="auto"/>
        <w:ind w:left="9" w:right="121" w:firstLine="3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关于承包人应为其施工设备、材料、工程设备和临</w:t>
      </w:r>
      <w:r>
        <w:rPr>
          <w:rFonts w:hint="eastAsia" w:ascii="宋体" w:hAnsi="宋体" w:eastAsia="宋体" w:cs="宋体"/>
          <w:spacing w:val="-2"/>
          <w:sz w:val="24"/>
          <w:szCs w:val="24"/>
          <w:lang w:eastAsia="zh-CN"/>
        </w:rPr>
        <w:t>时工程等办理财产保险的特别约定：</w:t>
      </w:r>
      <w:r>
        <w:rPr>
          <w:rFonts w:hint="eastAsia" w:ascii="宋体" w:hAnsi="宋体" w:eastAsia="宋体" w:cs="宋体"/>
          <w:spacing w:val="-1"/>
          <w:sz w:val="24"/>
          <w:szCs w:val="24"/>
          <w:u w:val="single"/>
          <w:lang w:eastAsia="zh-CN"/>
        </w:rPr>
        <w:t>按规定办理，相关费用由承包人承担。</w:t>
      </w:r>
    </w:p>
    <w:p w14:paraId="3E7DDC95">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18.4其他保险</w:t>
      </w:r>
    </w:p>
    <w:p w14:paraId="7D8407D5">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关于其他保险的约定：</w:t>
      </w:r>
      <w:r>
        <w:rPr>
          <w:rFonts w:hint="eastAsia" w:ascii="宋体" w:hAnsi="宋体" w:eastAsia="宋体" w:cs="宋体"/>
          <w:spacing w:val="-1"/>
          <w:sz w:val="24"/>
          <w:szCs w:val="24"/>
          <w:u w:val="single"/>
          <w:lang w:eastAsia="zh-CN"/>
        </w:rPr>
        <w:t>/。</w:t>
      </w:r>
    </w:p>
    <w:p w14:paraId="4D2D7010">
      <w:pPr>
        <w:spacing w:line="360" w:lineRule="auto"/>
        <w:ind w:left="405"/>
        <w:outlineLvl w:val="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18.5对各项保险的一般要求</w:t>
      </w:r>
    </w:p>
    <w:p w14:paraId="6330EF0D">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18.5.2保险凭证</w:t>
      </w:r>
    </w:p>
    <w:p w14:paraId="674FAC5F">
      <w:pPr>
        <w:spacing w:line="360" w:lineRule="auto"/>
        <w:ind w:left="3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保险单的条件：</w:t>
      </w:r>
      <w:r>
        <w:rPr>
          <w:rFonts w:hint="eastAsia" w:ascii="宋体" w:hAnsi="宋体" w:eastAsia="宋体" w:cs="宋体"/>
          <w:spacing w:val="-1"/>
          <w:sz w:val="24"/>
          <w:szCs w:val="24"/>
          <w:u w:val="single"/>
          <w:lang w:eastAsia="zh-CN"/>
        </w:rPr>
        <w:t>/。</w:t>
      </w:r>
    </w:p>
    <w:p w14:paraId="7694B2DE">
      <w:pPr>
        <w:spacing w:line="360" w:lineRule="auto"/>
        <w:ind w:left="4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18.5.4通知义务</w:t>
      </w:r>
    </w:p>
    <w:p w14:paraId="419EE03D">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关于变更保险合同时的通知义务的约定：</w:t>
      </w:r>
      <w:r>
        <w:rPr>
          <w:rFonts w:hint="eastAsia" w:ascii="宋体" w:hAnsi="宋体" w:eastAsia="宋体" w:cs="宋体"/>
          <w:spacing w:val="-1"/>
          <w:sz w:val="24"/>
          <w:szCs w:val="24"/>
          <w:u w:val="single"/>
          <w:lang w:eastAsia="zh-CN"/>
        </w:rPr>
        <w:t>执行通用条款。</w:t>
      </w:r>
    </w:p>
    <w:p w14:paraId="070D6C17">
      <w:pPr>
        <w:spacing w:line="360" w:lineRule="auto"/>
        <w:ind w:left="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第20条争议解决</w:t>
      </w:r>
    </w:p>
    <w:p w14:paraId="28F85F5C">
      <w:pPr>
        <w:spacing w:line="360" w:lineRule="auto"/>
        <w:ind w:left="43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20.3争议评审</w:t>
      </w:r>
    </w:p>
    <w:p w14:paraId="5B6F1E51">
      <w:pPr>
        <w:spacing w:line="360" w:lineRule="auto"/>
        <w:ind w:left="3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合同当事人是否同意将工程争议提交争议评审小组决定</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w:t>
      </w:r>
    </w:p>
    <w:p w14:paraId="50EAF7B8">
      <w:pPr>
        <w:spacing w:line="360" w:lineRule="auto"/>
        <w:ind w:left="39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20.3.1争议评审小组的确定</w:t>
      </w:r>
    </w:p>
    <w:p w14:paraId="612E3611">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争议评审小组成员的人数：</w:t>
      </w:r>
      <w:r>
        <w:rPr>
          <w:rFonts w:hint="eastAsia" w:ascii="宋体" w:hAnsi="宋体" w:eastAsia="宋体" w:cs="宋体"/>
          <w:spacing w:val="-1"/>
          <w:sz w:val="24"/>
          <w:szCs w:val="24"/>
          <w:u w:val="single"/>
          <w:lang w:eastAsia="zh-CN"/>
        </w:rPr>
        <w:t>/。</w:t>
      </w:r>
    </w:p>
    <w:p w14:paraId="44DD1D6A">
      <w:pPr>
        <w:spacing w:line="360" w:lineRule="auto"/>
        <w:ind w:left="39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争议评审小组成员的确定：</w:t>
      </w:r>
      <w:r>
        <w:rPr>
          <w:rFonts w:hint="eastAsia" w:ascii="宋体" w:hAnsi="宋体" w:eastAsia="宋体" w:cs="宋体"/>
          <w:spacing w:val="-1"/>
          <w:sz w:val="24"/>
          <w:szCs w:val="24"/>
          <w:u w:val="single"/>
          <w:lang w:eastAsia="zh-CN"/>
        </w:rPr>
        <w:t>/。</w:t>
      </w:r>
    </w:p>
    <w:p w14:paraId="71BE5348">
      <w:pPr>
        <w:spacing w:line="360" w:lineRule="auto"/>
        <w:ind w:left="38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选定争议避免/评审组的期限：</w:t>
      </w:r>
      <w:r>
        <w:rPr>
          <w:rFonts w:hint="eastAsia" w:ascii="宋体" w:hAnsi="宋体" w:eastAsia="宋体" w:cs="宋体"/>
          <w:spacing w:val="-1"/>
          <w:sz w:val="24"/>
          <w:szCs w:val="24"/>
          <w:u w:val="single"/>
          <w:lang w:eastAsia="zh-CN"/>
        </w:rPr>
        <w:t>/。</w:t>
      </w:r>
    </w:p>
    <w:p w14:paraId="2D8DE0F3">
      <w:pPr>
        <w:spacing w:line="360" w:lineRule="auto"/>
        <w:ind w:left="37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评审机构：</w:t>
      </w:r>
      <w:r>
        <w:rPr>
          <w:rFonts w:hint="eastAsia" w:ascii="宋体" w:hAnsi="宋体" w:eastAsia="宋体" w:cs="宋体"/>
          <w:spacing w:val="-1"/>
          <w:sz w:val="24"/>
          <w:szCs w:val="24"/>
          <w:u w:val="single"/>
          <w:lang w:eastAsia="zh-CN"/>
        </w:rPr>
        <w:t>/。</w:t>
      </w:r>
    </w:p>
    <w:p w14:paraId="36FBA46B">
      <w:pPr>
        <w:spacing w:line="360" w:lineRule="auto"/>
        <w:ind w:left="37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其他事项的约定：</w:t>
      </w:r>
      <w:r>
        <w:rPr>
          <w:rFonts w:hint="eastAsia" w:ascii="宋体" w:hAnsi="宋体" w:eastAsia="宋体" w:cs="宋体"/>
          <w:spacing w:val="-1"/>
          <w:sz w:val="24"/>
          <w:szCs w:val="24"/>
          <w:u w:val="single"/>
          <w:lang w:eastAsia="zh-CN"/>
        </w:rPr>
        <w:t>/。</w:t>
      </w:r>
    </w:p>
    <w:p w14:paraId="6EDF640D">
      <w:pPr>
        <w:spacing w:line="360" w:lineRule="auto"/>
        <w:ind w:left="37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争议评审员报酬的承担人：</w:t>
      </w:r>
      <w:r>
        <w:rPr>
          <w:rFonts w:hint="eastAsia" w:ascii="宋体" w:hAnsi="宋体" w:eastAsia="宋体" w:cs="宋体"/>
          <w:spacing w:val="-1"/>
          <w:sz w:val="24"/>
          <w:szCs w:val="24"/>
          <w:u w:val="single"/>
          <w:lang w:eastAsia="zh-CN"/>
        </w:rPr>
        <w:t>/。</w:t>
      </w:r>
    </w:p>
    <w:p w14:paraId="0B0E35FF">
      <w:pPr>
        <w:spacing w:line="360" w:lineRule="auto"/>
        <w:ind w:left="3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20.3.2争议的避免</w:t>
      </w:r>
    </w:p>
    <w:p w14:paraId="3B3A2113">
      <w:pPr>
        <w:spacing w:line="360" w:lineRule="auto"/>
        <w:ind w:left="3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发包人和承包人是否均出席争议避免的非正式讨</w:t>
      </w:r>
      <w:r>
        <w:rPr>
          <w:rFonts w:hint="eastAsia" w:ascii="宋体" w:hAnsi="宋体" w:eastAsia="宋体" w:cs="宋体"/>
          <w:sz w:val="24"/>
          <w:szCs w:val="24"/>
          <w:lang w:eastAsia="zh-CN"/>
        </w:rPr>
        <w:t>论：</w:t>
      </w:r>
      <w:r>
        <w:rPr>
          <w:rFonts w:hint="eastAsia" w:ascii="宋体" w:hAnsi="宋体" w:eastAsia="宋体" w:cs="宋体"/>
          <w:sz w:val="24"/>
          <w:szCs w:val="24"/>
          <w:u w:val="single"/>
          <w:lang w:eastAsia="zh-CN"/>
        </w:rPr>
        <w:t>/。</w:t>
      </w:r>
    </w:p>
    <w:p w14:paraId="40139A89">
      <w:pPr>
        <w:spacing w:line="360" w:lineRule="auto"/>
        <w:ind w:left="3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20.3.3争议评审小组的决定</w:t>
      </w:r>
    </w:p>
    <w:p w14:paraId="4B1C624B">
      <w:pPr>
        <w:spacing w:line="360" w:lineRule="auto"/>
        <w:ind w:left="3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关于争议评审小组的决定的特别约定：</w:t>
      </w:r>
      <w:r>
        <w:rPr>
          <w:rFonts w:hint="eastAsia" w:ascii="宋体" w:hAnsi="宋体" w:eastAsia="宋体" w:cs="宋体"/>
          <w:sz w:val="24"/>
          <w:szCs w:val="24"/>
          <w:u w:val="single"/>
          <w:lang w:eastAsia="zh-CN"/>
        </w:rPr>
        <w:t>/。</w:t>
      </w:r>
    </w:p>
    <w:p w14:paraId="1AF3C000">
      <w:pPr>
        <w:spacing w:line="360" w:lineRule="auto"/>
        <w:ind w:left="3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20.4仲裁或诉讼</w:t>
      </w:r>
    </w:p>
    <w:p w14:paraId="141970EE">
      <w:pPr>
        <w:spacing w:line="360" w:lineRule="auto"/>
        <w:ind w:left="389"/>
        <w:rPr>
          <w:rFonts w:hint="eastAsia" w:ascii="宋体" w:hAnsi="宋体" w:eastAsia="宋体" w:cs="宋体"/>
          <w:sz w:val="24"/>
          <w:szCs w:val="24"/>
          <w:lang w:eastAsia="zh-CN"/>
        </w:rPr>
      </w:pPr>
      <w:r>
        <w:rPr>
          <w:rFonts w:hint="eastAsia" w:ascii="宋体" w:hAnsi="宋体" w:eastAsia="宋体" w:cs="宋体"/>
          <w:sz w:val="24"/>
          <w:szCs w:val="24"/>
          <w:lang w:eastAsia="zh-CN"/>
        </w:rPr>
        <w:t>因合同及合同有关事项发生的争议，按下列第</w:t>
      </w:r>
      <w:r>
        <w:rPr>
          <w:rFonts w:hint="eastAsia" w:ascii="宋体" w:hAnsi="宋体" w:eastAsia="宋体" w:cs="宋体"/>
          <w:spacing w:val="-1"/>
          <w:sz w:val="24"/>
          <w:szCs w:val="24"/>
          <w:u w:val="single"/>
          <w:lang w:eastAsia="zh-CN"/>
        </w:rPr>
        <w:t>（2）</w:t>
      </w:r>
      <w:r>
        <w:rPr>
          <w:rFonts w:hint="eastAsia" w:ascii="宋体" w:hAnsi="宋体" w:eastAsia="宋体" w:cs="宋体"/>
          <w:spacing w:val="-1"/>
          <w:sz w:val="24"/>
          <w:szCs w:val="24"/>
          <w:lang w:eastAsia="zh-CN"/>
        </w:rPr>
        <w:t>种方式解决：</w:t>
      </w:r>
    </w:p>
    <w:p w14:paraId="2F0E2564">
      <w:pPr>
        <w:spacing w:line="360" w:lineRule="auto"/>
        <w:ind w:left="37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（1）向</w:t>
      </w:r>
      <w:r>
        <w:rPr>
          <w:rFonts w:hint="eastAsia" w:ascii="宋体" w:hAnsi="宋体" w:eastAsia="宋体" w:cs="宋体"/>
          <w:spacing w:val="-2"/>
          <w:sz w:val="24"/>
          <w:szCs w:val="24"/>
          <w:u w:val="single"/>
          <w:lang w:eastAsia="zh-CN"/>
        </w:rPr>
        <w:t>合同双方商定的</w:t>
      </w:r>
      <w:r>
        <w:rPr>
          <w:rFonts w:hint="eastAsia" w:ascii="宋体" w:hAnsi="宋体" w:eastAsia="宋体" w:cs="宋体"/>
          <w:spacing w:val="-2"/>
          <w:sz w:val="24"/>
          <w:szCs w:val="24"/>
          <w:lang w:eastAsia="zh-CN"/>
        </w:rPr>
        <w:t>仲裁委员会申请仲裁；</w:t>
      </w:r>
    </w:p>
    <w:p w14:paraId="4CBD3961">
      <w:pPr>
        <w:spacing w:line="360" w:lineRule="auto"/>
        <w:ind w:left="37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（2）向</w:t>
      </w:r>
      <w:r>
        <w:rPr>
          <w:rFonts w:hint="eastAsia" w:ascii="宋体" w:hAnsi="宋体" w:eastAsia="宋体" w:cs="宋体"/>
          <w:spacing w:val="-4"/>
          <w:sz w:val="24"/>
          <w:szCs w:val="24"/>
          <w:u w:val="single"/>
          <w:lang w:eastAsia="zh-CN"/>
        </w:rPr>
        <w:t>工程所在地</w:t>
      </w:r>
      <w:r>
        <w:rPr>
          <w:rFonts w:hint="eastAsia" w:ascii="宋体" w:hAnsi="宋体" w:eastAsia="宋体" w:cs="宋体"/>
          <w:spacing w:val="-4"/>
          <w:sz w:val="24"/>
          <w:szCs w:val="24"/>
          <w:lang w:eastAsia="zh-CN"/>
        </w:rPr>
        <w:t>人民法院起诉。</w:t>
      </w:r>
    </w:p>
    <w:p w14:paraId="124F2618">
      <w:pPr>
        <w:rPr>
          <w:rFonts w:hint="eastAsia" w:ascii="黑体" w:hAnsi="黑体" w:eastAsia="黑体" w:cs="黑体"/>
          <w:spacing w:val="-2"/>
          <w:sz w:val="24"/>
          <w:szCs w:val="24"/>
          <w:lang w:eastAsia="zh-CN"/>
        </w:rPr>
      </w:pPr>
      <w:r>
        <w:rPr>
          <w:rFonts w:hint="eastAsia" w:ascii="黑体" w:hAnsi="黑体" w:eastAsia="黑体" w:cs="黑体"/>
          <w:spacing w:val="-2"/>
          <w:sz w:val="24"/>
          <w:szCs w:val="24"/>
          <w:lang w:eastAsia="zh-CN"/>
        </w:rPr>
        <w:br w:type="page"/>
      </w:r>
    </w:p>
    <w:p w14:paraId="017510C2">
      <w:pPr>
        <w:spacing w:before="48" w:line="220" w:lineRule="auto"/>
        <w:rPr>
          <w:rFonts w:hint="eastAsia" w:ascii="黑体" w:hAnsi="黑体" w:eastAsia="黑体" w:cs="黑体"/>
          <w:spacing w:val="-2"/>
          <w:sz w:val="24"/>
          <w:szCs w:val="24"/>
          <w:lang w:eastAsia="zh-CN"/>
        </w:rPr>
      </w:pPr>
    </w:p>
    <w:p w14:paraId="03109223">
      <w:pPr>
        <w:spacing w:before="48" w:line="220" w:lineRule="auto"/>
        <w:rPr>
          <w:rFonts w:hint="eastAsia" w:ascii="黑体" w:hAnsi="黑体" w:eastAsia="黑体" w:cs="黑体"/>
          <w:sz w:val="24"/>
          <w:szCs w:val="24"/>
          <w:lang w:eastAsia="zh-CN"/>
        </w:rPr>
      </w:pPr>
      <w:r>
        <w:rPr>
          <w:rFonts w:ascii="黑体" w:hAnsi="黑体" w:eastAsia="黑体" w:cs="黑体"/>
          <w:spacing w:val="-2"/>
          <w:sz w:val="24"/>
          <w:szCs w:val="24"/>
          <w:lang w:eastAsia="zh-CN"/>
        </w:rPr>
        <w:t>专用合同条件附件</w:t>
      </w:r>
    </w:p>
    <w:p w14:paraId="2DC2E9E9">
      <w:pPr>
        <w:pStyle w:val="3"/>
        <w:spacing w:line="367" w:lineRule="auto"/>
        <w:rPr>
          <w:lang w:eastAsia="zh-CN"/>
        </w:rPr>
      </w:pPr>
    </w:p>
    <w:p w14:paraId="29946087">
      <w:pPr>
        <w:spacing w:before="78" w:line="233" w:lineRule="auto"/>
        <w:ind w:left="493"/>
        <w:rPr>
          <w:rFonts w:hint="eastAsia" w:ascii="宋体" w:hAnsi="宋体" w:eastAsia="宋体" w:cs="宋体"/>
          <w:sz w:val="24"/>
          <w:szCs w:val="24"/>
          <w:lang w:eastAsia="zh-CN"/>
        </w:rPr>
      </w:pPr>
      <w:r>
        <w:rPr>
          <w:rFonts w:ascii="宋体" w:hAnsi="宋体" w:eastAsia="宋体" w:cs="宋体"/>
          <w:spacing w:val="-5"/>
          <w:sz w:val="24"/>
          <w:szCs w:val="24"/>
          <w:lang w:eastAsia="zh-CN"/>
        </w:rPr>
        <w:t>附件</w:t>
      </w:r>
      <w:r>
        <w:rPr>
          <w:rFonts w:ascii="Times New Roman" w:hAnsi="Times New Roman" w:eastAsia="Times New Roman" w:cs="Times New Roman"/>
          <w:spacing w:val="-5"/>
          <w:sz w:val="24"/>
          <w:szCs w:val="24"/>
          <w:lang w:eastAsia="zh-CN"/>
        </w:rPr>
        <w:t>1</w:t>
      </w:r>
      <w:r>
        <w:rPr>
          <w:rFonts w:ascii="宋体" w:hAnsi="宋体" w:eastAsia="宋体" w:cs="宋体"/>
          <w:spacing w:val="-5"/>
          <w:sz w:val="24"/>
          <w:szCs w:val="24"/>
          <w:lang w:eastAsia="zh-CN"/>
        </w:rPr>
        <w:t>：发包人要求</w:t>
      </w:r>
    </w:p>
    <w:p w14:paraId="3C47F42C">
      <w:pPr>
        <w:spacing w:before="165" w:line="233" w:lineRule="auto"/>
        <w:ind w:left="493"/>
        <w:rPr>
          <w:rFonts w:hint="eastAsia" w:ascii="宋体" w:hAnsi="宋体" w:eastAsia="宋体" w:cs="宋体"/>
          <w:sz w:val="24"/>
          <w:szCs w:val="24"/>
          <w:lang w:eastAsia="zh-CN"/>
        </w:rPr>
      </w:pPr>
      <w:r>
        <w:rPr>
          <w:rFonts w:ascii="宋体" w:hAnsi="宋体" w:eastAsia="宋体" w:cs="宋体"/>
          <w:spacing w:val="-2"/>
          <w:sz w:val="24"/>
          <w:szCs w:val="24"/>
          <w:lang w:eastAsia="zh-CN"/>
        </w:rPr>
        <w:t>附件</w:t>
      </w: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：发包人供应材料设备一览表</w:t>
      </w:r>
    </w:p>
    <w:p w14:paraId="2F6F0501">
      <w:pPr>
        <w:spacing w:before="162" w:line="233" w:lineRule="auto"/>
        <w:ind w:left="493"/>
        <w:rPr>
          <w:rFonts w:hint="eastAsia" w:ascii="宋体" w:hAnsi="宋体" w:eastAsia="宋体" w:cs="宋体"/>
          <w:sz w:val="24"/>
          <w:szCs w:val="24"/>
          <w:lang w:eastAsia="zh-CN"/>
        </w:rPr>
      </w:pPr>
      <w:r>
        <w:rPr>
          <w:rFonts w:ascii="宋体" w:hAnsi="宋体" w:eastAsia="宋体" w:cs="宋体"/>
          <w:spacing w:val="-4"/>
          <w:sz w:val="24"/>
          <w:szCs w:val="24"/>
          <w:lang w:eastAsia="zh-CN"/>
        </w:rPr>
        <w:t>附件</w:t>
      </w:r>
      <w:r>
        <w:rPr>
          <w:rFonts w:ascii="Times New Roman" w:hAnsi="Times New Roman" w:eastAsia="Times New Roman" w:cs="Times New Roman"/>
          <w:spacing w:val="-4"/>
          <w:sz w:val="24"/>
          <w:szCs w:val="24"/>
          <w:lang w:eastAsia="zh-CN"/>
        </w:rPr>
        <w:t>3</w:t>
      </w:r>
      <w:r>
        <w:rPr>
          <w:rFonts w:ascii="宋体" w:hAnsi="宋体" w:eastAsia="宋体" w:cs="宋体"/>
          <w:spacing w:val="-4"/>
          <w:sz w:val="24"/>
          <w:szCs w:val="24"/>
          <w:lang w:eastAsia="zh-CN"/>
        </w:rPr>
        <w:t>：工程质量保修书</w:t>
      </w:r>
    </w:p>
    <w:p w14:paraId="511FBE65">
      <w:pPr>
        <w:spacing w:before="165" w:line="233" w:lineRule="auto"/>
        <w:ind w:left="493"/>
        <w:rPr>
          <w:rFonts w:hint="eastAsia" w:ascii="宋体" w:hAnsi="宋体" w:eastAsia="宋体" w:cs="宋体"/>
          <w:sz w:val="24"/>
          <w:szCs w:val="24"/>
          <w:lang w:eastAsia="zh-CN"/>
        </w:rPr>
      </w:pPr>
      <w:r>
        <w:rPr>
          <w:rFonts w:ascii="宋体" w:hAnsi="宋体" w:eastAsia="宋体" w:cs="宋体"/>
          <w:spacing w:val="-3"/>
          <w:sz w:val="24"/>
          <w:szCs w:val="24"/>
          <w:lang w:eastAsia="zh-CN"/>
        </w:rPr>
        <w:t>附件</w:t>
      </w:r>
      <w:r>
        <w:rPr>
          <w:rFonts w:ascii="Times New Roman" w:hAnsi="Times New Roman" w:eastAsia="Times New Roman" w:cs="Times New Roman"/>
          <w:spacing w:val="-3"/>
          <w:sz w:val="24"/>
          <w:szCs w:val="24"/>
          <w:lang w:eastAsia="zh-CN"/>
        </w:rPr>
        <w:t>4</w:t>
      </w:r>
      <w:r>
        <w:rPr>
          <w:rFonts w:ascii="宋体" w:hAnsi="宋体" w:eastAsia="宋体" w:cs="宋体"/>
          <w:spacing w:val="-3"/>
          <w:sz w:val="24"/>
          <w:szCs w:val="24"/>
          <w:lang w:eastAsia="zh-CN"/>
        </w:rPr>
        <w:t>：主要建设工程文件目录</w:t>
      </w:r>
    </w:p>
    <w:p w14:paraId="49D80A06">
      <w:pPr>
        <w:spacing w:before="162" w:line="233" w:lineRule="auto"/>
        <w:ind w:left="493"/>
        <w:rPr>
          <w:rFonts w:hint="eastAsia" w:ascii="宋体" w:hAnsi="宋体" w:eastAsia="宋体" w:cs="宋体"/>
          <w:sz w:val="24"/>
          <w:szCs w:val="24"/>
          <w:lang w:eastAsia="zh-CN"/>
        </w:rPr>
      </w:pPr>
      <w:r>
        <w:rPr>
          <w:rFonts w:ascii="宋体" w:hAnsi="宋体" w:eastAsia="宋体" w:cs="宋体"/>
          <w:spacing w:val="-3"/>
          <w:sz w:val="24"/>
          <w:szCs w:val="24"/>
          <w:lang w:eastAsia="zh-CN"/>
        </w:rPr>
        <w:t>附件</w:t>
      </w:r>
      <w:r>
        <w:rPr>
          <w:rFonts w:ascii="Times New Roman" w:hAnsi="Times New Roman" w:eastAsia="Times New Roman" w:cs="Times New Roman"/>
          <w:spacing w:val="-3"/>
          <w:sz w:val="24"/>
          <w:szCs w:val="24"/>
          <w:lang w:eastAsia="zh-CN"/>
        </w:rPr>
        <w:t>5</w:t>
      </w:r>
      <w:r>
        <w:rPr>
          <w:rFonts w:ascii="宋体" w:hAnsi="宋体" w:eastAsia="宋体" w:cs="宋体"/>
          <w:spacing w:val="-3"/>
          <w:sz w:val="24"/>
          <w:szCs w:val="24"/>
          <w:lang w:eastAsia="zh-CN"/>
        </w:rPr>
        <w:t>：承包人主要管理人员表</w:t>
      </w:r>
    </w:p>
    <w:p w14:paraId="00056026">
      <w:pPr>
        <w:spacing w:before="166" w:line="232" w:lineRule="auto"/>
        <w:ind w:left="493"/>
        <w:rPr>
          <w:rFonts w:hint="eastAsia" w:ascii="宋体" w:hAnsi="宋体" w:eastAsia="宋体" w:cs="宋体"/>
          <w:sz w:val="24"/>
          <w:szCs w:val="24"/>
          <w:lang w:eastAsia="zh-CN"/>
        </w:rPr>
      </w:pPr>
      <w:r>
        <w:rPr>
          <w:rFonts w:ascii="宋体" w:hAnsi="宋体" w:eastAsia="宋体" w:cs="宋体"/>
          <w:spacing w:val="-4"/>
          <w:sz w:val="24"/>
          <w:szCs w:val="24"/>
          <w:lang w:eastAsia="zh-CN"/>
        </w:rPr>
        <w:t>附件</w:t>
      </w:r>
      <w:r>
        <w:rPr>
          <w:rFonts w:ascii="Times New Roman" w:hAnsi="Times New Roman" w:eastAsia="Times New Roman" w:cs="Times New Roman"/>
          <w:spacing w:val="-4"/>
          <w:sz w:val="24"/>
          <w:szCs w:val="24"/>
          <w:lang w:eastAsia="zh-CN"/>
        </w:rPr>
        <w:t>6</w:t>
      </w:r>
      <w:r>
        <w:rPr>
          <w:rFonts w:ascii="宋体" w:hAnsi="宋体" w:eastAsia="宋体" w:cs="宋体"/>
          <w:spacing w:val="-4"/>
          <w:sz w:val="24"/>
          <w:szCs w:val="24"/>
          <w:lang w:eastAsia="zh-CN"/>
        </w:rPr>
        <w:t>：价格指数权重表</w:t>
      </w:r>
    </w:p>
    <w:p w14:paraId="69464EB8">
      <w:pPr>
        <w:spacing w:line="232" w:lineRule="auto"/>
        <w:rPr>
          <w:rFonts w:hint="eastAsia" w:ascii="宋体" w:hAnsi="宋体" w:eastAsia="宋体" w:cs="宋体"/>
          <w:sz w:val="24"/>
          <w:szCs w:val="24"/>
          <w:lang w:eastAsia="zh-CN"/>
        </w:rPr>
        <w:sectPr>
          <w:footerReference r:id="rId10" w:type="default"/>
          <w:pgSz w:w="11907" w:h="16839"/>
          <w:pgMar w:top="1176" w:right="1785" w:bottom="1350" w:left="1783" w:header="567" w:footer="850" w:gutter="0"/>
          <w:cols w:space="720" w:num="1"/>
        </w:sectPr>
      </w:pPr>
    </w:p>
    <w:p w14:paraId="4946DC89">
      <w:pPr>
        <w:spacing w:before="142" w:line="232" w:lineRule="auto"/>
        <w:outlineLvl w:val="3"/>
        <w:rPr>
          <w:rFonts w:hint="eastAsia" w:ascii="黑体" w:hAnsi="黑体" w:eastAsia="黑体" w:cs="黑体"/>
          <w:sz w:val="30"/>
          <w:szCs w:val="30"/>
          <w:lang w:eastAsia="zh-CN"/>
        </w:rPr>
      </w:pPr>
      <w:r>
        <w:rPr>
          <w:rFonts w:ascii="黑体" w:hAnsi="黑体" w:eastAsia="黑体" w:cs="黑体"/>
          <w:b/>
          <w:bCs/>
          <w:spacing w:val="-7"/>
          <w:sz w:val="30"/>
          <w:szCs w:val="30"/>
          <w:lang w:eastAsia="zh-CN"/>
        </w:rPr>
        <w:t>附件</w:t>
      </w:r>
      <w:r>
        <w:rPr>
          <w:rFonts w:ascii="Times New Roman" w:hAnsi="Times New Roman" w:eastAsia="Times New Roman" w:cs="Times New Roman"/>
          <w:b/>
          <w:bCs/>
          <w:spacing w:val="-7"/>
          <w:sz w:val="30"/>
          <w:szCs w:val="30"/>
          <w:lang w:eastAsia="zh-CN"/>
        </w:rPr>
        <w:t>1</w:t>
      </w:r>
      <w:r>
        <w:rPr>
          <w:rFonts w:ascii="黑体" w:hAnsi="黑体" w:eastAsia="黑体" w:cs="黑体"/>
          <w:b/>
          <w:bCs/>
          <w:spacing w:val="-7"/>
          <w:sz w:val="30"/>
          <w:szCs w:val="30"/>
          <w:lang w:eastAsia="zh-CN"/>
        </w:rPr>
        <w:t>发包人要求</w:t>
      </w:r>
    </w:p>
    <w:p w14:paraId="3E87467E">
      <w:pPr>
        <w:pStyle w:val="3"/>
        <w:spacing w:line="290" w:lineRule="auto"/>
        <w:rPr>
          <w:lang w:eastAsia="zh-CN"/>
        </w:rPr>
      </w:pPr>
    </w:p>
    <w:p w14:paraId="66A817A1">
      <w:pPr>
        <w:spacing w:before="98" w:line="232" w:lineRule="auto"/>
        <w:ind w:left="11"/>
        <w:outlineLvl w:val="3"/>
        <w:rPr>
          <w:rFonts w:hint="eastAsia" w:ascii="黑体" w:hAnsi="黑体" w:eastAsia="黑体" w:cs="黑体"/>
          <w:sz w:val="30"/>
          <w:szCs w:val="30"/>
          <w:lang w:eastAsia="zh-CN"/>
        </w:rPr>
      </w:pPr>
      <w:r>
        <w:rPr>
          <w:rFonts w:ascii="黑体" w:hAnsi="黑体" w:eastAsia="黑体" w:cs="黑体"/>
          <w:b/>
          <w:bCs/>
          <w:spacing w:val="-4"/>
          <w:sz w:val="30"/>
          <w:szCs w:val="30"/>
          <w:lang w:eastAsia="zh-CN"/>
        </w:rPr>
        <w:t>附件</w:t>
      </w:r>
      <w:r>
        <w:rPr>
          <w:rFonts w:ascii="Times New Roman" w:hAnsi="Times New Roman" w:eastAsia="Times New Roman" w:cs="Times New Roman"/>
          <w:b/>
          <w:bCs/>
          <w:spacing w:val="-4"/>
          <w:sz w:val="30"/>
          <w:szCs w:val="30"/>
          <w:lang w:eastAsia="zh-CN"/>
        </w:rPr>
        <w:t>2</w:t>
      </w:r>
      <w:r>
        <w:rPr>
          <w:rFonts w:ascii="黑体" w:hAnsi="黑体" w:eastAsia="黑体" w:cs="黑体"/>
          <w:b/>
          <w:bCs/>
          <w:spacing w:val="-4"/>
          <w:sz w:val="30"/>
          <w:szCs w:val="30"/>
          <w:lang w:eastAsia="zh-CN"/>
        </w:rPr>
        <w:t>发包人供应材料设备一览表</w:t>
      </w:r>
    </w:p>
    <w:p w14:paraId="599F5CBE">
      <w:pPr>
        <w:spacing w:before="4"/>
        <w:rPr>
          <w:lang w:eastAsia="zh-CN"/>
        </w:rPr>
      </w:pPr>
    </w:p>
    <w:tbl>
      <w:tblPr>
        <w:tblStyle w:val="34"/>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6"/>
        <w:gridCol w:w="1173"/>
        <w:gridCol w:w="1137"/>
        <w:gridCol w:w="569"/>
        <w:gridCol w:w="691"/>
        <w:gridCol w:w="999"/>
        <w:gridCol w:w="1143"/>
        <w:gridCol w:w="1145"/>
        <w:gridCol w:w="1141"/>
        <w:gridCol w:w="741"/>
      </w:tblGrid>
      <w:tr w14:paraId="079C3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14" w:type="pct"/>
            <w:tcBorders>
              <w:left w:val="single" w:color="000000" w:sz="10" w:space="0"/>
            </w:tcBorders>
            <w:vAlign w:val="center"/>
          </w:tcPr>
          <w:p w14:paraId="51B5DC62">
            <w:pPr>
              <w:spacing w:before="34" w:line="222" w:lineRule="auto"/>
              <w:ind w:left="73"/>
              <w:jc w:val="center"/>
              <w:rPr>
                <w:rFonts w:hint="eastAsia" w:ascii="宋体" w:hAnsi="宋体" w:eastAsia="宋体" w:cs="宋体"/>
              </w:rPr>
            </w:pPr>
            <w:r>
              <w:rPr>
                <w:rFonts w:ascii="宋体" w:hAnsi="宋体" w:eastAsia="宋体" w:cs="宋体"/>
                <w:spacing w:val="-2"/>
              </w:rPr>
              <w:t>序号</w:t>
            </w:r>
          </w:p>
        </w:tc>
        <w:tc>
          <w:tcPr>
            <w:tcW w:w="628" w:type="pct"/>
            <w:vAlign w:val="center"/>
          </w:tcPr>
          <w:p w14:paraId="48D48301">
            <w:pPr>
              <w:spacing w:before="33" w:line="241" w:lineRule="auto"/>
              <w:ind w:left="381" w:right="59" w:hanging="334"/>
              <w:jc w:val="center"/>
              <w:rPr>
                <w:rFonts w:hint="eastAsia" w:ascii="宋体" w:hAnsi="宋体" w:eastAsia="宋体" w:cs="宋体"/>
              </w:rPr>
            </w:pPr>
            <w:r>
              <w:rPr>
                <w:rFonts w:ascii="宋体" w:hAnsi="宋体" w:eastAsia="宋体" w:cs="宋体"/>
                <w:spacing w:val="-1"/>
              </w:rPr>
              <w:t>材料、设备</w:t>
            </w:r>
            <w:r>
              <w:rPr>
                <w:rFonts w:ascii="宋体" w:hAnsi="宋体" w:eastAsia="宋体" w:cs="宋体"/>
                <w:spacing w:val="-6"/>
              </w:rPr>
              <w:t>品种</w:t>
            </w:r>
          </w:p>
        </w:tc>
        <w:tc>
          <w:tcPr>
            <w:tcW w:w="609" w:type="pct"/>
            <w:vAlign w:val="center"/>
          </w:tcPr>
          <w:p w14:paraId="1BB28A51">
            <w:pPr>
              <w:spacing w:before="33" w:line="221" w:lineRule="auto"/>
              <w:ind w:left="141"/>
              <w:jc w:val="center"/>
              <w:rPr>
                <w:rFonts w:hint="eastAsia" w:ascii="宋体" w:hAnsi="宋体" w:eastAsia="宋体" w:cs="宋体"/>
              </w:rPr>
            </w:pPr>
            <w:r>
              <w:rPr>
                <w:rFonts w:ascii="宋体" w:hAnsi="宋体" w:eastAsia="宋体" w:cs="宋体"/>
                <w:spacing w:val="-2"/>
              </w:rPr>
              <w:t>规格型号</w:t>
            </w:r>
          </w:p>
        </w:tc>
        <w:tc>
          <w:tcPr>
            <w:tcW w:w="305" w:type="pct"/>
            <w:vAlign w:val="center"/>
          </w:tcPr>
          <w:p w14:paraId="2B710DCF">
            <w:pPr>
              <w:spacing w:before="34" w:line="221" w:lineRule="auto"/>
              <w:ind w:left="75"/>
              <w:jc w:val="center"/>
              <w:rPr>
                <w:rFonts w:hint="eastAsia" w:ascii="宋体" w:hAnsi="宋体" w:eastAsia="宋体" w:cs="宋体"/>
              </w:rPr>
            </w:pPr>
            <w:r>
              <w:rPr>
                <w:rFonts w:ascii="宋体" w:hAnsi="宋体" w:eastAsia="宋体" w:cs="宋体"/>
                <w:spacing w:val="-2"/>
              </w:rPr>
              <w:t>单位</w:t>
            </w:r>
          </w:p>
        </w:tc>
        <w:tc>
          <w:tcPr>
            <w:tcW w:w="370" w:type="pct"/>
            <w:vAlign w:val="center"/>
          </w:tcPr>
          <w:p w14:paraId="2B2B8382">
            <w:pPr>
              <w:spacing w:before="33" w:line="221" w:lineRule="auto"/>
              <w:ind w:left="136"/>
              <w:jc w:val="center"/>
              <w:rPr>
                <w:rFonts w:hint="eastAsia" w:ascii="宋体" w:hAnsi="宋体" w:eastAsia="宋体" w:cs="宋体"/>
              </w:rPr>
            </w:pPr>
            <w:r>
              <w:rPr>
                <w:rFonts w:ascii="宋体" w:hAnsi="宋体" w:eastAsia="宋体" w:cs="宋体"/>
                <w:spacing w:val="-2"/>
              </w:rPr>
              <w:t>数量</w:t>
            </w:r>
          </w:p>
        </w:tc>
        <w:tc>
          <w:tcPr>
            <w:tcW w:w="535" w:type="pct"/>
            <w:vAlign w:val="center"/>
          </w:tcPr>
          <w:p w14:paraId="3F60ECBE">
            <w:pPr>
              <w:spacing w:before="34" w:line="219" w:lineRule="auto"/>
              <w:jc w:val="center"/>
              <w:rPr>
                <w:rFonts w:hint="eastAsia" w:ascii="宋体" w:hAnsi="宋体" w:eastAsia="宋体" w:cs="宋体"/>
              </w:rPr>
            </w:pPr>
            <w:r>
              <w:rPr>
                <w:rFonts w:ascii="宋体" w:hAnsi="宋体" w:eastAsia="宋体" w:cs="宋体"/>
                <w:spacing w:val="-16"/>
              </w:rPr>
              <w:t>单价（元）</w:t>
            </w:r>
          </w:p>
        </w:tc>
        <w:tc>
          <w:tcPr>
            <w:tcW w:w="612" w:type="pct"/>
            <w:vAlign w:val="center"/>
          </w:tcPr>
          <w:p w14:paraId="0466F8B0">
            <w:pPr>
              <w:spacing w:before="33" w:line="221" w:lineRule="auto"/>
              <w:ind w:left="153"/>
              <w:jc w:val="center"/>
              <w:rPr>
                <w:rFonts w:hint="eastAsia" w:ascii="宋体" w:hAnsi="宋体" w:eastAsia="宋体" w:cs="宋体"/>
              </w:rPr>
            </w:pPr>
            <w:r>
              <w:rPr>
                <w:rFonts w:ascii="宋体" w:hAnsi="宋体" w:eastAsia="宋体" w:cs="宋体"/>
                <w:spacing w:val="-2"/>
              </w:rPr>
              <w:t>质量等级</w:t>
            </w:r>
          </w:p>
        </w:tc>
        <w:tc>
          <w:tcPr>
            <w:tcW w:w="613" w:type="pct"/>
            <w:vAlign w:val="center"/>
          </w:tcPr>
          <w:p w14:paraId="7D5F2C3C">
            <w:pPr>
              <w:spacing w:before="34" w:line="220" w:lineRule="auto"/>
              <w:ind w:left="153"/>
              <w:jc w:val="center"/>
              <w:rPr>
                <w:rFonts w:hint="eastAsia" w:ascii="宋体" w:hAnsi="宋体" w:eastAsia="宋体" w:cs="宋体"/>
              </w:rPr>
            </w:pPr>
            <w:r>
              <w:rPr>
                <w:rFonts w:ascii="宋体" w:hAnsi="宋体" w:eastAsia="宋体" w:cs="宋体"/>
                <w:spacing w:val="-2"/>
              </w:rPr>
              <w:t>供应时间</w:t>
            </w:r>
          </w:p>
        </w:tc>
        <w:tc>
          <w:tcPr>
            <w:tcW w:w="611" w:type="pct"/>
            <w:vAlign w:val="center"/>
          </w:tcPr>
          <w:p w14:paraId="4730F1C2">
            <w:pPr>
              <w:spacing w:before="34" w:line="225" w:lineRule="auto"/>
              <w:ind w:left="155"/>
              <w:jc w:val="center"/>
              <w:rPr>
                <w:rFonts w:hint="eastAsia" w:ascii="宋体" w:hAnsi="宋体" w:eastAsia="宋体" w:cs="宋体"/>
              </w:rPr>
            </w:pPr>
            <w:r>
              <w:rPr>
                <w:rFonts w:ascii="宋体" w:hAnsi="宋体" w:eastAsia="宋体" w:cs="宋体"/>
                <w:spacing w:val="-1"/>
              </w:rPr>
              <w:t>送达地点</w:t>
            </w:r>
          </w:p>
        </w:tc>
        <w:tc>
          <w:tcPr>
            <w:tcW w:w="397" w:type="pct"/>
            <w:tcBorders>
              <w:right w:val="single" w:color="000000" w:sz="10" w:space="0"/>
            </w:tcBorders>
            <w:vAlign w:val="center"/>
          </w:tcPr>
          <w:p w14:paraId="3BB771F9">
            <w:pPr>
              <w:spacing w:before="34" w:line="222" w:lineRule="auto"/>
              <w:ind w:left="162"/>
              <w:jc w:val="center"/>
              <w:rPr>
                <w:rFonts w:hint="eastAsia" w:ascii="宋体" w:hAnsi="宋体" w:eastAsia="宋体" w:cs="宋体"/>
              </w:rPr>
            </w:pPr>
            <w:r>
              <w:rPr>
                <w:rFonts w:ascii="宋体" w:hAnsi="宋体" w:eastAsia="宋体" w:cs="宋体"/>
                <w:spacing w:val="-3"/>
              </w:rPr>
              <w:t>备注</w:t>
            </w:r>
          </w:p>
        </w:tc>
      </w:tr>
      <w:tr w14:paraId="1E7D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 w:type="pct"/>
            <w:tcBorders>
              <w:left w:val="single" w:color="000000" w:sz="10" w:space="0"/>
            </w:tcBorders>
            <w:vAlign w:val="center"/>
          </w:tcPr>
          <w:p w14:paraId="0EEE1131">
            <w:pPr>
              <w:jc w:val="center"/>
            </w:pPr>
          </w:p>
        </w:tc>
        <w:tc>
          <w:tcPr>
            <w:tcW w:w="628" w:type="pct"/>
            <w:vAlign w:val="center"/>
          </w:tcPr>
          <w:p w14:paraId="5E162E4F">
            <w:pPr>
              <w:jc w:val="center"/>
            </w:pPr>
          </w:p>
        </w:tc>
        <w:tc>
          <w:tcPr>
            <w:tcW w:w="609" w:type="pct"/>
            <w:vAlign w:val="center"/>
          </w:tcPr>
          <w:p w14:paraId="13FB7EAB">
            <w:pPr>
              <w:jc w:val="center"/>
            </w:pPr>
          </w:p>
        </w:tc>
        <w:tc>
          <w:tcPr>
            <w:tcW w:w="305" w:type="pct"/>
            <w:vAlign w:val="center"/>
          </w:tcPr>
          <w:p w14:paraId="3237242A">
            <w:pPr>
              <w:jc w:val="center"/>
            </w:pPr>
          </w:p>
        </w:tc>
        <w:tc>
          <w:tcPr>
            <w:tcW w:w="370" w:type="pct"/>
            <w:vAlign w:val="center"/>
          </w:tcPr>
          <w:p w14:paraId="08732206">
            <w:pPr>
              <w:jc w:val="center"/>
            </w:pPr>
          </w:p>
        </w:tc>
        <w:tc>
          <w:tcPr>
            <w:tcW w:w="535" w:type="pct"/>
            <w:vAlign w:val="center"/>
          </w:tcPr>
          <w:p w14:paraId="43ECED96">
            <w:pPr>
              <w:jc w:val="center"/>
            </w:pPr>
          </w:p>
        </w:tc>
        <w:tc>
          <w:tcPr>
            <w:tcW w:w="612" w:type="pct"/>
            <w:vAlign w:val="center"/>
          </w:tcPr>
          <w:p w14:paraId="7363702D">
            <w:pPr>
              <w:jc w:val="center"/>
            </w:pPr>
          </w:p>
        </w:tc>
        <w:tc>
          <w:tcPr>
            <w:tcW w:w="613" w:type="pct"/>
            <w:vAlign w:val="center"/>
          </w:tcPr>
          <w:p w14:paraId="48D362A3">
            <w:pPr>
              <w:jc w:val="center"/>
            </w:pPr>
          </w:p>
        </w:tc>
        <w:tc>
          <w:tcPr>
            <w:tcW w:w="611" w:type="pct"/>
            <w:vAlign w:val="center"/>
          </w:tcPr>
          <w:p w14:paraId="707BDD74">
            <w:pPr>
              <w:jc w:val="center"/>
            </w:pPr>
          </w:p>
        </w:tc>
        <w:tc>
          <w:tcPr>
            <w:tcW w:w="397" w:type="pct"/>
            <w:tcBorders>
              <w:right w:val="single" w:color="000000" w:sz="10" w:space="0"/>
            </w:tcBorders>
            <w:vAlign w:val="center"/>
          </w:tcPr>
          <w:p w14:paraId="5AEBADF7">
            <w:pPr>
              <w:jc w:val="center"/>
            </w:pPr>
          </w:p>
        </w:tc>
      </w:tr>
      <w:tr w14:paraId="0B29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4" w:type="pct"/>
            <w:tcBorders>
              <w:left w:val="single" w:color="000000" w:sz="10" w:space="0"/>
            </w:tcBorders>
            <w:vAlign w:val="center"/>
          </w:tcPr>
          <w:p w14:paraId="58AC46E2">
            <w:pPr>
              <w:jc w:val="center"/>
            </w:pPr>
          </w:p>
        </w:tc>
        <w:tc>
          <w:tcPr>
            <w:tcW w:w="628" w:type="pct"/>
            <w:vAlign w:val="center"/>
          </w:tcPr>
          <w:p w14:paraId="64281F32">
            <w:pPr>
              <w:jc w:val="center"/>
            </w:pPr>
          </w:p>
        </w:tc>
        <w:tc>
          <w:tcPr>
            <w:tcW w:w="609" w:type="pct"/>
            <w:vAlign w:val="center"/>
          </w:tcPr>
          <w:p w14:paraId="7241ABDC">
            <w:pPr>
              <w:jc w:val="center"/>
            </w:pPr>
          </w:p>
        </w:tc>
        <w:tc>
          <w:tcPr>
            <w:tcW w:w="305" w:type="pct"/>
            <w:vAlign w:val="center"/>
          </w:tcPr>
          <w:p w14:paraId="5C6B09EF">
            <w:pPr>
              <w:jc w:val="center"/>
            </w:pPr>
          </w:p>
        </w:tc>
        <w:tc>
          <w:tcPr>
            <w:tcW w:w="370" w:type="pct"/>
            <w:vAlign w:val="center"/>
          </w:tcPr>
          <w:p w14:paraId="11690F23">
            <w:pPr>
              <w:jc w:val="center"/>
            </w:pPr>
          </w:p>
        </w:tc>
        <w:tc>
          <w:tcPr>
            <w:tcW w:w="535" w:type="pct"/>
            <w:vAlign w:val="center"/>
          </w:tcPr>
          <w:p w14:paraId="0676681E">
            <w:pPr>
              <w:jc w:val="center"/>
            </w:pPr>
          </w:p>
        </w:tc>
        <w:tc>
          <w:tcPr>
            <w:tcW w:w="612" w:type="pct"/>
            <w:vAlign w:val="center"/>
          </w:tcPr>
          <w:p w14:paraId="0784F56F">
            <w:pPr>
              <w:jc w:val="center"/>
            </w:pPr>
          </w:p>
        </w:tc>
        <w:tc>
          <w:tcPr>
            <w:tcW w:w="613" w:type="pct"/>
            <w:vAlign w:val="center"/>
          </w:tcPr>
          <w:p w14:paraId="12C84F16">
            <w:pPr>
              <w:jc w:val="center"/>
            </w:pPr>
          </w:p>
        </w:tc>
        <w:tc>
          <w:tcPr>
            <w:tcW w:w="611" w:type="pct"/>
            <w:vAlign w:val="center"/>
          </w:tcPr>
          <w:p w14:paraId="298EB577">
            <w:pPr>
              <w:jc w:val="center"/>
            </w:pPr>
          </w:p>
        </w:tc>
        <w:tc>
          <w:tcPr>
            <w:tcW w:w="397" w:type="pct"/>
            <w:tcBorders>
              <w:right w:val="single" w:color="000000" w:sz="10" w:space="0"/>
            </w:tcBorders>
            <w:vAlign w:val="center"/>
          </w:tcPr>
          <w:p w14:paraId="62D47217">
            <w:pPr>
              <w:jc w:val="center"/>
            </w:pPr>
          </w:p>
        </w:tc>
      </w:tr>
      <w:tr w14:paraId="256C8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14" w:type="pct"/>
            <w:tcBorders>
              <w:left w:val="single" w:color="000000" w:sz="10" w:space="0"/>
            </w:tcBorders>
            <w:vAlign w:val="center"/>
          </w:tcPr>
          <w:p w14:paraId="5E39000E">
            <w:pPr>
              <w:jc w:val="center"/>
            </w:pPr>
          </w:p>
        </w:tc>
        <w:tc>
          <w:tcPr>
            <w:tcW w:w="628" w:type="pct"/>
            <w:vAlign w:val="center"/>
          </w:tcPr>
          <w:p w14:paraId="4BC3F16D">
            <w:pPr>
              <w:jc w:val="center"/>
            </w:pPr>
          </w:p>
        </w:tc>
        <w:tc>
          <w:tcPr>
            <w:tcW w:w="609" w:type="pct"/>
            <w:vAlign w:val="center"/>
          </w:tcPr>
          <w:p w14:paraId="3711C25B">
            <w:pPr>
              <w:jc w:val="center"/>
            </w:pPr>
          </w:p>
        </w:tc>
        <w:tc>
          <w:tcPr>
            <w:tcW w:w="305" w:type="pct"/>
            <w:vAlign w:val="center"/>
          </w:tcPr>
          <w:p w14:paraId="3F59FC25">
            <w:pPr>
              <w:jc w:val="center"/>
            </w:pPr>
          </w:p>
        </w:tc>
        <w:tc>
          <w:tcPr>
            <w:tcW w:w="370" w:type="pct"/>
            <w:vAlign w:val="center"/>
          </w:tcPr>
          <w:p w14:paraId="7A2ADE2C">
            <w:pPr>
              <w:jc w:val="center"/>
            </w:pPr>
          </w:p>
        </w:tc>
        <w:tc>
          <w:tcPr>
            <w:tcW w:w="535" w:type="pct"/>
            <w:vAlign w:val="center"/>
          </w:tcPr>
          <w:p w14:paraId="599A29CE">
            <w:pPr>
              <w:jc w:val="center"/>
            </w:pPr>
          </w:p>
        </w:tc>
        <w:tc>
          <w:tcPr>
            <w:tcW w:w="612" w:type="pct"/>
            <w:vAlign w:val="center"/>
          </w:tcPr>
          <w:p w14:paraId="0A42AC5D">
            <w:pPr>
              <w:jc w:val="center"/>
            </w:pPr>
          </w:p>
        </w:tc>
        <w:tc>
          <w:tcPr>
            <w:tcW w:w="613" w:type="pct"/>
            <w:vAlign w:val="center"/>
          </w:tcPr>
          <w:p w14:paraId="3ADB2E2C">
            <w:pPr>
              <w:jc w:val="center"/>
            </w:pPr>
          </w:p>
        </w:tc>
        <w:tc>
          <w:tcPr>
            <w:tcW w:w="611" w:type="pct"/>
            <w:vAlign w:val="center"/>
          </w:tcPr>
          <w:p w14:paraId="05872548">
            <w:pPr>
              <w:jc w:val="center"/>
            </w:pPr>
          </w:p>
        </w:tc>
        <w:tc>
          <w:tcPr>
            <w:tcW w:w="397" w:type="pct"/>
            <w:tcBorders>
              <w:right w:val="single" w:color="000000" w:sz="10" w:space="0"/>
            </w:tcBorders>
            <w:vAlign w:val="center"/>
          </w:tcPr>
          <w:p w14:paraId="2CADDFB9">
            <w:pPr>
              <w:jc w:val="center"/>
            </w:pPr>
          </w:p>
        </w:tc>
      </w:tr>
      <w:tr w14:paraId="5A75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 w:type="pct"/>
            <w:tcBorders>
              <w:left w:val="single" w:color="000000" w:sz="10" w:space="0"/>
            </w:tcBorders>
            <w:vAlign w:val="center"/>
          </w:tcPr>
          <w:p w14:paraId="4FB433D4">
            <w:pPr>
              <w:jc w:val="center"/>
            </w:pPr>
          </w:p>
        </w:tc>
        <w:tc>
          <w:tcPr>
            <w:tcW w:w="628" w:type="pct"/>
            <w:vAlign w:val="center"/>
          </w:tcPr>
          <w:p w14:paraId="4F351C6A">
            <w:pPr>
              <w:jc w:val="center"/>
            </w:pPr>
          </w:p>
        </w:tc>
        <w:tc>
          <w:tcPr>
            <w:tcW w:w="609" w:type="pct"/>
            <w:vAlign w:val="center"/>
          </w:tcPr>
          <w:p w14:paraId="438FE487">
            <w:pPr>
              <w:jc w:val="center"/>
            </w:pPr>
          </w:p>
        </w:tc>
        <w:tc>
          <w:tcPr>
            <w:tcW w:w="305" w:type="pct"/>
            <w:vAlign w:val="center"/>
          </w:tcPr>
          <w:p w14:paraId="023ED69B">
            <w:pPr>
              <w:jc w:val="center"/>
            </w:pPr>
          </w:p>
        </w:tc>
        <w:tc>
          <w:tcPr>
            <w:tcW w:w="370" w:type="pct"/>
            <w:vAlign w:val="center"/>
          </w:tcPr>
          <w:p w14:paraId="3FBB9754">
            <w:pPr>
              <w:jc w:val="center"/>
            </w:pPr>
          </w:p>
        </w:tc>
        <w:tc>
          <w:tcPr>
            <w:tcW w:w="535" w:type="pct"/>
            <w:vAlign w:val="center"/>
          </w:tcPr>
          <w:p w14:paraId="1AA95301">
            <w:pPr>
              <w:jc w:val="center"/>
            </w:pPr>
          </w:p>
        </w:tc>
        <w:tc>
          <w:tcPr>
            <w:tcW w:w="612" w:type="pct"/>
            <w:vAlign w:val="center"/>
          </w:tcPr>
          <w:p w14:paraId="6CE1FD8A">
            <w:pPr>
              <w:jc w:val="center"/>
            </w:pPr>
          </w:p>
        </w:tc>
        <w:tc>
          <w:tcPr>
            <w:tcW w:w="613" w:type="pct"/>
            <w:vAlign w:val="center"/>
          </w:tcPr>
          <w:p w14:paraId="34C88F78">
            <w:pPr>
              <w:jc w:val="center"/>
            </w:pPr>
          </w:p>
        </w:tc>
        <w:tc>
          <w:tcPr>
            <w:tcW w:w="611" w:type="pct"/>
            <w:vAlign w:val="center"/>
          </w:tcPr>
          <w:p w14:paraId="0D34BDA6">
            <w:pPr>
              <w:jc w:val="center"/>
            </w:pPr>
          </w:p>
        </w:tc>
        <w:tc>
          <w:tcPr>
            <w:tcW w:w="397" w:type="pct"/>
            <w:tcBorders>
              <w:right w:val="single" w:color="000000" w:sz="10" w:space="0"/>
            </w:tcBorders>
            <w:vAlign w:val="center"/>
          </w:tcPr>
          <w:p w14:paraId="3B5C2E9F">
            <w:pPr>
              <w:jc w:val="center"/>
            </w:pPr>
          </w:p>
        </w:tc>
      </w:tr>
      <w:tr w14:paraId="1A42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14" w:type="pct"/>
            <w:tcBorders>
              <w:left w:val="single" w:color="000000" w:sz="10" w:space="0"/>
            </w:tcBorders>
            <w:vAlign w:val="center"/>
          </w:tcPr>
          <w:p w14:paraId="615BC091">
            <w:pPr>
              <w:jc w:val="center"/>
            </w:pPr>
          </w:p>
        </w:tc>
        <w:tc>
          <w:tcPr>
            <w:tcW w:w="628" w:type="pct"/>
            <w:vAlign w:val="center"/>
          </w:tcPr>
          <w:p w14:paraId="17F77530">
            <w:pPr>
              <w:jc w:val="center"/>
            </w:pPr>
          </w:p>
        </w:tc>
        <w:tc>
          <w:tcPr>
            <w:tcW w:w="609" w:type="pct"/>
            <w:vAlign w:val="center"/>
          </w:tcPr>
          <w:p w14:paraId="0B57653E">
            <w:pPr>
              <w:jc w:val="center"/>
            </w:pPr>
          </w:p>
        </w:tc>
        <w:tc>
          <w:tcPr>
            <w:tcW w:w="305" w:type="pct"/>
            <w:vAlign w:val="center"/>
          </w:tcPr>
          <w:p w14:paraId="32D3B4D8">
            <w:pPr>
              <w:jc w:val="center"/>
            </w:pPr>
          </w:p>
        </w:tc>
        <w:tc>
          <w:tcPr>
            <w:tcW w:w="370" w:type="pct"/>
            <w:vAlign w:val="center"/>
          </w:tcPr>
          <w:p w14:paraId="7ECD9A95">
            <w:pPr>
              <w:jc w:val="center"/>
            </w:pPr>
          </w:p>
        </w:tc>
        <w:tc>
          <w:tcPr>
            <w:tcW w:w="535" w:type="pct"/>
            <w:vAlign w:val="center"/>
          </w:tcPr>
          <w:p w14:paraId="30B03759">
            <w:pPr>
              <w:jc w:val="center"/>
            </w:pPr>
          </w:p>
        </w:tc>
        <w:tc>
          <w:tcPr>
            <w:tcW w:w="612" w:type="pct"/>
            <w:vAlign w:val="center"/>
          </w:tcPr>
          <w:p w14:paraId="7348167D">
            <w:pPr>
              <w:jc w:val="center"/>
            </w:pPr>
          </w:p>
        </w:tc>
        <w:tc>
          <w:tcPr>
            <w:tcW w:w="613" w:type="pct"/>
            <w:vAlign w:val="center"/>
          </w:tcPr>
          <w:p w14:paraId="2F93AC5A">
            <w:pPr>
              <w:jc w:val="center"/>
            </w:pPr>
          </w:p>
        </w:tc>
        <w:tc>
          <w:tcPr>
            <w:tcW w:w="611" w:type="pct"/>
            <w:vAlign w:val="center"/>
          </w:tcPr>
          <w:p w14:paraId="4F47C4BF">
            <w:pPr>
              <w:jc w:val="center"/>
            </w:pPr>
          </w:p>
        </w:tc>
        <w:tc>
          <w:tcPr>
            <w:tcW w:w="397" w:type="pct"/>
            <w:tcBorders>
              <w:right w:val="single" w:color="000000" w:sz="10" w:space="0"/>
            </w:tcBorders>
            <w:vAlign w:val="center"/>
          </w:tcPr>
          <w:p w14:paraId="0F53BB3E">
            <w:pPr>
              <w:jc w:val="center"/>
            </w:pPr>
          </w:p>
        </w:tc>
      </w:tr>
      <w:tr w14:paraId="28E0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14" w:type="pct"/>
            <w:tcBorders>
              <w:left w:val="single" w:color="000000" w:sz="10" w:space="0"/>
            </w:tcBorders>
            <w:vAlign w:val="center"/>
          </w:tcPr>
          <w:p w14:paraId="1320BAF8">
            <w:pPr>
              <w:jc w:val="center"/>
            </w:pPr>
          </w:p>
        </w:tc>
        <w:tc>
          <w:tcPr>
            <w:tcW w:w="628" w:type="pct"/>
            <w:vAlign w:val="center"/>
          </w:tcPr>
          <w:p w14:paraId="69B183A6">
            <w:pPr>
              <w:jc w:val="center"/>
            </w:pPr>
          </w:p>
        </w:tc>
        <w:tc>
          <w:tcPr>
            <w:tcW w:w="609" w:type="pct"/>
            <w:vAlign w:val="center"/>
          </w:tcPr>
          <w:p w14:paraId="5A14630D">
            <w:pPr>
              <w:jc w:val="center"/>
            </w:pPr>
          </w:p>
        </w:tc>
        <w:tc>
          <w:tcPr>
            <w:tcW w:w="305" w:type="pct"/>
            <w:vAlign w:val="center"/>
          </w:tcPr>
          <w:p w14:paraId="5B28CB34">
            <w:pPr>
              <w:jc w:val="center"/>
            </w:pPr>
          </w:p>
        </w:tc>
        <w:tc>
          <w:tcPr>
            <w:tcW w:w="370" w:type="pct"/>
            <w:vAlign w:val="center"/>
          </w:tcPr>
          <w:p w14:paraId="47086FCB">
            <w:pPr>
              <w:jc w:val="center"/>
            </w:pPr>
          </w:p>
        </w:tc>
        <w:tc>
          <w:tcPr>
            <w:tcW w:w="535" w:type="pct"/>
            <w:vAlign w:val="center"/>
          </w:tcPr>
          <w:p w14:paraId="29B599C9">
            <w:pPr>
              <w:jc w:val="center"/>
            </w:pPr>
          </w:p>
        </w:tc>
        <w:tc>
          <w:tcPr>
            <w:tcW w:w="612" w:type="pct"/>
            <w:vAlign w:val="center"/>
          </w:tcPr>
          <w:p w14:paraId="36D98218">
            <w:pPr>
              <w:jc w:val="center"/>
            </w:pPr>
          </w:p>
        </w:tc>
        <w:tc>
          <w:tcPr>
            <w:tcW w:w="613" w:type="pct"/>
            <w:vAlign w:val="center"/>
          </w:tcPr>
          <w:p w14:paraId="5160B6E6">
            <w:pPr>
              <w:jc w:val="center"/>
            </w:pPr>
          </w:p>
        </w:tc>
        <w:tc>
          <w:tcPr>
            <w:tcW w:w="611" w:type="pct"/>
            <w:vAlign w:val="center"/>
          </w:tcPr>
          <w:p w14:paraId="065569C7">
            <w:pPr>
              <w:jc w:val="center"/>
            </w:pPr>
          </w:p>
        </w:tc>
        <w:tc>
          <w:tcPr>
            <w:tcW w:w="397" w:type="pct"/>
            <w:tcBorders>
              <w:right w:val="single" w:color="000000" w:sz="10" w:space="0"/>
            </w:tcBorders>
            <w:vAlign w:val="center"/>
          </w:tcPr>
          <w:p w14:paraId="15C7B111">
            <w:pPr>
              <w:jc w:val="center"/>
            </w:pPr>
          </w:p>
        </w:tc>
      </w:tr>
      <w:tr w14:paraId="72B5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14" w:type="pct"/>
            <w:tcBorders>
              <w:left w:val="single" w:color="000000" w:sz="10" w:space="0"/>
              <w:bottom w:val="single" w:color="000000" w:sz="4" w:space="0"/>
            </w:tcBorders>
            <w:vAlign w:val="center"/>
          </w:tcPr>
          <w:p w14:paraId="49C2D15D">
            <w:pPr>
              <w:jc w:val="center"/>
            </w:pPr>
          </w:p>
        </w:tc>
        <w:tc>
          <w:tcPr>
            <w:tcW w:w="628" w:type="pct"/>
            <w:tcBorders>
              <w:bottom w:val="single" w:color="000000" w:sz="4" w:space="0"/>
            </w:tcBorders>
            <w:vAlign w:val="center"/>
          </w:tcPr>
          <w:p w14:paraId="51E6CA7B">
            <w:pPr>
              <w:jc w:val="center"/>
            </w:pPr>
          </w:p>
        </w:tc>
        <w:tc>
          <w:tcPr>
            <w:tcW w:w="609" w:type="pct"/>
            <w:tcBorders>
              <w:bottom w:val="single" w:color="000000" w:sz="4" w:space="0"/>
            </w:tcBorders>
            <w:vAlign w:val="center"/>
          </w:tcPr>
          <w:p w14:paraId="1DF2A787">
            <w:pPr>
              <w:jc w:val="center"/>
            </w:pPr>
          </w:p>
        </w:tc>
        <w:tc>
          <w:tcPr>
            <w:tcW w:w="305" w:type="pct"/>
            <w:tcBorders>
              <w:bottom w:val="single" w:color="000000" w:sz="4" w:space="0"/>
            </w:tcBorders>
            <w:vAlign w:val="center"/>
          </w:tcPr>
          <w:p w14:paraId="0111AD87">
            <w:pPr>
              <w:jc w:val="center"/>
            </w:pPr>
          </w:p>
        </w:tc>
        <w:tc>
          <w:tcPr>
            <w:tcW w:w="370" w:type="pct"/>
            <w:tcBorders>
              <w:bottom w:val="single" w:color="000000" w:sz="4" w:space="0"/>
            </w:tcBorders>
            <w:vAlign w:val="center"/>
          </w:tcPr>
          <w:p w14:paraId="1E3AD276">
            <w:pPr>
              <w:jc w:val="center"/>
            </w:pPr>
          </w:p>
        </w:tc>
        <w:tc>
          <w:tcPr>
            <w:tcW w:w="535" w:type="pct"/>
            <w:tcBorders>
              <w:bottom w:val="single" w:color="000000" w:sz="4" w:space="0"/>
            </w:tcBorders>
            <w:vAlign w:val="center"/>
          </w:tcPr>
          <w:p w14:paraId="51A8B81B">
            <w:pPr>
              <w:jc w:val="center"/>
            </w:pPr>
          </w:p>
        </w:tc>
        <w:tc>
          <w:tcPr>
            <w:tcW w:w="612" w:type="pct"/>
            <w:tcBorders>
              <w:bottom w:val="single" w:color="000000" w:sz="4" w:space="0"/>
            </w:tcBorders>
            <w:vAlign w:val="center"/>
          </w:tcPr>
          <w:p w14:paraId="50ABD4D6">
            <w:pPr>
              <w:jc w:val="center"/>
            </w:pPr>
          </w:p>
        </w:tc>
        <w:tc>
          <w:tcPr>
            <w:tcW w:w="613" w:type="pct"/>
            <w:tcBorders>
              <w:bottom w:val="single" w:color="000000" w:sz="4" w:space="0"/>
            </w:tcBorders>
            <w:vAlign w:val="center"/>
          </w:tcPr>
          <w:p w14:paraId="6B1102FC">
            <w:pPr>
              <w:jc w:val="center"/>
            </w:pPr>
          </w:p>
        </w:tc>
        <w:tc>
          <w:tcPr>
            <w:tcW w:w="611" w:type="pct"/>
            <w:tcBorders>
              <w:bottom w:val="single" w:color="000000" w:sz="4" w:space="0"/>
            </w:tcBorders>
            <w:vAlign w:val="center"/>
          </w:tcPr>
          <w:p w14:paraId="06AC774F">
            <w:pPr>
              <w:jc w:val="center"/>
            </w:pPr>
          </w:p>
        </w:tc>
        <w:tc>
          <w:tcPr>
            <w:tcW w:w="397" w:type="pct"/>
            <w:tcBorders>
              <w:bottom w:val="single" w:color="000000" w:sz="4" w:space="0"/>
              <w:right w:val="single" w:color="000000" w:sz="10" w:space="0"/>
            </w:tcBorders>
            <w:vAlign w:val="center"/>
          </w:tcPr>
          <w:p w14:paraId="2169CB9F">
            <w:pPr>
              <w:jc w:val="center"/>
            </w:pPr>
          </w:p>
        </w:tc>
      </w:tr>
      <w:tr w14:paraId="4CAA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14" w:type="pct"/>
            <w:tcBorders>
              <w:top w:val="single" w:color="000000" w:sz="4" w:space="0"/>
              <w:left w:val="single" w:color="000000" w:sz="10" w:space="0"/>
            </w:tcBorders>
            <w:vAlign w:val="center"/>
          </w:tcPr>
          <w:p w14:paraId="31AD28CE">
            <w:pPr>
              <w:jc w:val="center"/>
            </w:pPr>
          </w:p>
        </w:tc>
        <w:tc>
          <w:tcPr>
            <w:tcW w:w="628" w:type="pct"/>
            <w:tcBorders>
              <w:top w:val="single" w:color="000000" w:sz="4" w:space="0"/>
            </w:tcBorders>
            <w:vAlign w:val="center"/>
          </w:tcPr>
          <w:p w14:paraId="5B032EFE">
            <w:pPr>
              <w:jc w:val="center"/>
            </w:pPr>
          </w:p>
        </w:tc>
        <w:tc>
          <w:tcPr>
            <w:tcW w:w="609" w:type="pct"/>
            <w:tcBorders>
              <w:top w:val="single" w:color="000000" w:sz="4" w:space="0"/>
            </w:tcBorders>
            <w:vAlign w:val="center"/>
          </w:tcPr>
          <w:p w14:paraId="242E9D0B">
            <w:pPr>
              <w:jc w:val="center"/>
            </w:pPr>
          </w:p>
        </w:tc>
        <w:tc>
          <w:tcPr>
            <w:tcW w:w="305" w:type="pct"/>
            <w:tcBorders>
              <w:top w:val="single" w:color="000000" w:sz="4" w:space="0"/>
            </w:tcBorders>
            <w:vAlign w:val="center"/>
          </w:tcPr>
          <w:p w14:paraId="2B4B6F83">
            <w:pPr>
              <w:jc w:val="center"/>
            </w:pPr>
          </w:p>
        </w:tc>
        <w:tc>
          <w:tcPr>
            <w:tcW w:w="370" w:type="pct"/>
            <w:tcBorders>
              <w:top w:val="single" w:color="000000" w:sz="4" w:space="0"/>
            </w:tcBorders>
            <w:vAlign w:val="center"/>
          </w:tcPr>
          <w:p w14:paraId="0801B721">
            <w:pPr>
              <w:jc w:val="center"/>
            </w:pPr>
          </w:p>
        </w:tc>
        <w:tc>
          <w:tcPr>
            <w:tcW w:w="535" w:type="pct"/>
            <w:tcBorders>
              <w:top w:val="single" w:color="000000" w:sz="4" w:space="0"/>
            </w:tcBorders>
            <w:vAlign w:val="center"/>
          </w:tcPr>
          <w:p w14:paraId="44DB2BDA">
            <w:pPr>
              <w:jc w:val="center"/>
            </w:pPr>
          </w:p>
        </w:tc>
        <w:tc>
          <w:tcPr>
            <w:tcW w:w="612" w:type="pct"/>
            <w:tcBorders>
              <w:top w:val="single" w:color="000000" w:sz="4" w:space="0"/>
            </w:tcBorders>
            <w:vAlign w:val="center"/>
          </w:tcPr>
          <w:p w14:paraId="272E333F">
            <w:pPr>
              <w:jc w:val="center"/>
            </w:pPr>
          </w:p>
        </w:tc>
        <w:tc>
          <w:tcPr>
            <w:tcW w:w="613" w:type="pct"/>
            <w:tcBorders>
              <w:top w:val="single" w:color="000000" w:sz="4" w:space="0"/>
            </w:tcBorders>
            <w:vAlign w:val="center"/>
          </w:tcPr>
          <w:p w14:paraId="3270C4B0">
            <w:pPr>
              <w:jc w:val="center"/>
            </w:pPr>
          </w:p>
        </w:tc>
        <w:tc>
          <w:tcPr>
            <w:tcW w:w="611" w:type="pct"/>
            <w:tcBorders>
              <w:top w:val="single" w:color="000000" w:sz="4" w:space="0"/>
            </w:tcBorders>
            <w:vAlign w:val="center"/>
          </w:tcPr>
          <w:p w14:paraId="2B3674BF">
            <w:pPr>
              <w:jc w:val="center"/>
            </w:pPr>
          </w:p>
        </w:tc>
        <w:tc>
          <w:tcPr>
            <w:tcW w:w="397" w:type="pct"/>
            <w:tcBorders>
              <w:top w:val="single" w:color="000000" w:sz="4" w:space="0"/>
              <w:right w:val="single" w:color="000000" w:sz="10" w:space="0"/>
            </w:tcBorders>
            <w:vAlign w:val="center"/>
          </w:tcPr>
          <w:p w14:paraId="632990F0">
            <w:pPr>
              <w:jc w:val="center"/>
            </w:pPr>
          </w:p>
        </w:tc>
      </w:tr>
      <w:tr w14:paraId="4097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14" w:type="pct"/>
            <w:tcBorders>
              <w:left w:val="single" w:color="000000" w:sz="10" w:space="0"/>
            </w:tcBorders>
            <w:vAlign w:val="center"/>
          </w:tcPr>
          <w:p w14:paraId="35BEFB58">
            <w:pPr>
              <w:jc w:val="center"/>
            </w:pPr>
          </w:p>
        </w:tc>
        <w:tc>
          <w:tcPr>
            <w:tcW w:w="628" w:type="pct"/>
            <w:vAlign w:val="center"/>
          </w:tcPr>
          <w:p w14:paraId="7ABD3C7A">
            <w:pPr>
              <w:jc w:val="center"/>
            </w:pPr>
          </w:p>
        </w:tc>
        <w:tc>
          <w:tcPr>
            <w:tcW w:w="609" w:type="pct"/>
            <w:vAlign w:val="center"/>
          </w:tcPr>
          <w:p w14:paraId="48C60889">
            <w:pPr>
              <w:jc w:val="center"/>
            </w:pPr>
          </w:p>
        </w:tc>
        <w:tc>
          <w:tcPr>
            <w:tcW w:w="305" w:type="pct"/>
            <w:vAlign w:val="center"/>
          </w:tcPr>
          <w:p w14:paraId="70423F1E">
            <w:pPr>
              <w:jc w:val="center"/>
            </w:pPr>
          </w:p>
        </w:tc>
        <w:tc>
          <w:tcPr>
            <w:tcW w:w="370" w:type="pct"/>
            <w:vAlign w:val="center"/>
          </w:tcPr>
          <w:p w14:paraId="387C4973">
            <w:pPr>
              <w:jc w:val="center"/>
            </w:pPr>
          </w:p>
        </w:tc>
        <w:tc>
          <w:tcPr>
            <w:tcW w:w="535" w:type="pct"/>
            <w:vAlign w:val="center"/>
          </w:tcPr>
          <w:p w14:paraId="131A9BD1">
            <w:pPr>
              <w:jc w:val="center"/>
            </w:pPr>
          </w:p>
        </w:tc>
        <w:tc>
          <w:tcPr>
            <w:tcW w:w="612" w:type="pct"/>
            <w:vAlign w:val="center"/>
          </w:tcPr>
          <w:p w14:paraId="7ED86EFF">
            <w:pPr>
              <w:jc w:val="center"/>
            </w:pPr>
          </w:p>
        </w:tc>
        <w:tc>
          <w:tcPr>
            <w:tcW w:w="613" w:type="pct"/>
            <w:vAlign w:val="center"/>
          </w:tcPr>
          <w:p w14:paraId="5027372E">
            <w:pPr>
              <w:jc w:val="center"/>
            </w:pPr>
          </w:p>
        </w:tc>
        <w:tc>
          <w:tcPr>
            <w:tcW w:w="611" w:type="pct"/>
            <w:vAlign w:val="center"/>
          </w:tcPr>
          <w:p w14:paraId="0B7CB402">
            <w:pPr>
              <w:jc w:val="center"/>
            </w:pPr>
          </w:p>
        </w:tc>
        <w:tc>
          <w:tcPr>
            <w:tcW w:w="397" w:type="pct"/>
            <w:tcBorders>
              <w:right w:val="single" w:color="000000" w:sz="10" w:space="0"/>
            </w:tcBorders>
            <w:vAlign w:val="center"/>
          </w:tcPr>
          <w:p w14:paraId="4A127177">
            <w:pPr>
              <w:jc w:val="center"/>
            </w:pPr>
          </w:p>
        </w:tc>
      </w:tr>
      <w:tr w14:paraId="7ECEA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14" w:type="pct"/>
            <w:tcBorders>
              <w:left w:val="single" w:color="000000" w:sz="10" w:space="0"/>
            </w:tcBorders>
            <w:vAlign w:val="center"/>
          </w:tcPr>
          <w:p w14:paraId="17BAD45A">
            <w:pPr>
              <w:jc w:val="center"/>
            </w:pPr>
          </w:p>
        </w:tc>
        <w:tc>
          <w:tcPr>
            <w:tcW w:w="628" w:type="pct"/>
            <w:vAlign w:val="center"/>
          </w:tcPr>
          <w:p w14:paraId="75714481">
            <w:pPr>
              <w:jc w:val="center"/>
            </w:pPr>
          </w:p>
        </w:tc>
        <w:tc>
          <w:tcPr>
            <w:tcW w:w="609" w:type="pct"/>
            <w:vAlign w:val="center"/>
          </w:tcPr>
          <w:p w14:paraId="155DF177">
            <w:pPr>
              <w:jc w:val="center"/>
            </w:pPr>
          </w:p>
        </w:tc>
        <w:tc>
          <w:tcPr>
            <w:tcW w:w="305" w:type="pct"/>
            <w:vAlign w:val="center"/>
          </w:tcPr>
          <w:p w14:paraId="50052B96">
            <w:pPr>
              <w:jc w:val="center"/>
            </w:pPr>
          </w:p>
        </w:tc>
        <w:tc>
          <w:tcPr>
            <w:tcW w:w="370" w:type="pct"/>
            <w:vAlign w:val="center"/>
          </w:tcPr>
          <w:p w14:paraId="7165ECA9">
            <w:pPr>
              <w:jc w:val="center"/>
            </w:pPr>
          </w:p>
        </w:tc>
        <w:tc>
          <w:tcPr>
            <w:tcW w:w="535" w:type="pct"/>
            <w:vAlign w:val="center"/>
          </w:tcPr>
          <w:p w14:paraId="6E35010F">
            <w:pPr>
              <w:jc w:val="center"/>
            </w:pPr>
          </w:p>
        </w:tc>
        <w:tc>
          <w:tcPr>
            <w:tcW w:w="612" w:type="pct"/>
            <w:vAlign w:val="center"/>
          </w:tcPr>
          <w:p w14:paraId="02768B6C">
            <w:pPr>
              <w:jc w:val="center"/>
            </w:pPr>
          </w:p>
        </w:tc>
        <w:tc>
          <w:tcPr>
            <w:tcW w:w="613" w:type="pct"/>
            <w:vAlign w:val="center"/>
          </w:tcPr>
          <w:p w14:paraId="18CF622A">
            <w:pPr>
              <w:jc w:val="center"/>
            </w:pPr>
          </w:p>
        </w:tc>
        <w:tc>
          <w:tcPr>
            <w:tcW w:w="611" w:type="pct"/>
            <w:vAlign w:val="center"/>
          </w:tcPr>
          <w:p w14:paraId="66F59403">
            <w:pPr>
              <w:jc w:val="center"/>
            </w:pPr>
          </w:p>
        </w:tc>
        <w:tc>
          <w:tcPr>
            <w:tcW w:w="397" w:type="pct"/>
            <w:tcBorders>
              <w:right w:val="single" w:color="000000" w:sz="10" w:space="0"/>
            </w:tcBorders>
            <w:vAlign w:val="center"/>
          </w:tcPr>
          <w:p w14:paraId="763C351E">
            <w:pPr>
              <w:jc w:val="center"/>
            </w:pPr>
          </w:p>
        </w:tc>
      </w:tr>
      <w:tr w14:paraId="3BDC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14" w:type="pct"/>
            <w:tcBorders>
              <w:left w:val="single" w:color="000000" w:sz="10" w:space="0"/>
            </w:tcBorders>
            <w:vAlign w:val="center"/>
          </w:tcPr>
          <w:p w14:paraId="59E95701">
            <w:pPr>
              <w:jc w:val="center"/>
            </w:pPr>
          </w:p>
        </w:tc>
        <w:tc>
          <w:tcPr>
            <w:tcW w:w="628" w:type="pct"/>
            <w:vAlign w:val="center"/>
          </w:tcPr>
          <w:p w14:paraId="67BBB221">
            <w:pPr>
              <w:jc w:val="center"/>
            </w:pPr>
          </w:p>
        </w:tc>
        <w:tc>
          <w:tcPr>
            <w:tcW w:w="609" w:type="pct"/>
            <w:vAlign w:val="center"/>
          </w:tcPr>
          <w:p w14:paraId="26AD83FE">
            <w:pPr>
              <w:jc w:val="center"/>
            </w:pPr>
          </w:p>
        </w:tc>
        <w:tc>
          <w:tcPr>
            <w:tcW w:w="305" w:type="pct"/>
            <w:vAlign w:val="center"/>
          </w:tcPr>
          <w:p w14:paraId="69AD5F3E">
            <w:pPr>
              <w:jc w:val="center"/>
            </w:pPr>
          </w:p>
        </w:tc>
        <w:tc>
          <w:tcPr>
            <w:tcW w:w="370" w:type="pct"/>
            <w:vAlign w:val="center"/>
          </w:tcPr>
          <w:p w14:paraId="3B2BC1AA">
            <w:pPr>
              <w:jc w:val="center"/>
            </w:pPr>
          </w:p>
        </w:tc>
        <w:tc>
          <w:tcPr>
            <w:tcW w:w="535" w:type="pct"/>
            <w:vAlign w:val="center"/>
          </w:tcPr>
          <w:p w14:paraId="18B15F11">
            <w:pPr>
              <w:jc w:val="center"/>
            </w:pPr>
          </w:p>
        </w:tc>
        <w:tc>
          <w:tcPr>
            <w:tcW w:w="612" w:type="pct"/>
            <w:vAlign w:val="center"/>
          </w:tcPr>
          <w:p w14:paraId="6798CD84">
            <w:pPr>
              <w:jc w:val="center"/>
            </w:pPr>
          </w:p>
        </w:tc>
        <w:tc>
          <w:tcPr>
            <w:tcW w:w="613" w:type="pct"/>
            <w:vAlign w:val="center"/>
          </w:tcPr>
          <w:p w14:paraId="6C111F96">
            <w:pPr>
              <w:jc w:val="center"/>
            </w:pPr>
          </w:p>
        </w:tc>
        <w:tc>
          <w:tcPr>
            <w:tcW w:w="611" w:type="pct"/>
            <w:vAlign w:val="center"/>
          </w:tcPr>
          <w:p w14:paraId="67F5A724">
            <w:pPr>
              <w:jc w:val="center"/>
            </w:pPr>
          </w:p>
        </w:tc>
        <w:tc>
          <w:tcPr>
            <w:tcW w:w="397" w:type="pct"/>
            <w:tcBorders>
              <w:right w:val="single" w:color="000000" w:sz="10" w:space="0"/>
            </w:tcBorders>
            <w:vAlign w:val="center"/>
          </w:tcPr>
          <w:p w14:paraId="5619EE69">
            <w:pPr>
              <w:jc w:val="center"/>
            </w:pPr>
          </w:p>
        </w:tc>
      </w:tr>
      <w:tr w14:paraId="27FB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14" w:type="pct"/>
            <w:tcBorders>
              <w:left w:val="single" w:color="000000" w:sz="10" w:space="0"/>
            </w:tcBorders>
            <w:vAlign w:val="center"/>
          </w:tcPr>
          <w:p w14:paraId="07B586D4">
            <w:pPr>
              <w:jc w:val="center"/>
            </w:pPr>
          </w:p>
        </w:tc>
        <w:tc>
          <w:tcPr>
            <w:tcW w:w="628" w:type="pct"/>
            <w:vAlign w:val="center"/>
          </w:tcPr>
          <w:p w14:paraId="5A02315B">
            <w:pPr>
              <w:jc w:val="center"/>
            </w:pPr>
          </w:p>
        </w:tc>
        <w:tc>
          <w:tcPr>
            <w:tcW w:w="609" w:type="pct"/>
            <w:vAlign w:val="center"/>
          </w:tcPr>
          <w:p w14:paraId="212C4EB2">
            <w:pPr>
              <w:jc w:val="center"/>
            </w:pPr>
          </w:p>
        </w:tc>
        <w:tc>
          <w:tcPr>
            <w:tcW w:w="305" w:type="pct"/>
            <w:vAlign w:val="center"/>
          </w:tcPr>
          <w:p w14:paraId="3BD3C5F3">
            <w:pPr>
              <w:jc w:val="center"/>
            </w:pPr>
          </w:p>
        </w:tc>
        <w:tc>
          <w:tcPr>
            <w:tcW w:w="370" w:type="pct"/>
            <w:vAlign w:val="center"/>
          </w:tcPr>
          <w:p w14:paraId="465DD976">
            <w:pPr>
              <w:jc w:val="center"/>
            </w:pPr>
          </w:p>
        </w:tc>
        <w:tc>
          <w:tcPr>
            <w:tcW w:w="535" w:type="pct"/>
            <w:vAlign w:val="center"/>
          </w:tcPr>
          <w:p w14:paraId="196C6A12">
            <w:pPr>
              <w:jc w:val="center"/>
            </w:pPr>
          </w:p>
        </w:tc>
        <w:tc>
          <w:tcPr>
            <w:tcW w:w="612" w:type="pct"/>
            <w:vAlign w:val="center"/>
          </w:tcPr>
          <w:p w14:paraId="6F2E0516">
            <w:pPr>
              <w:jc w:val="center"/>
            </w:pPr>
          </w:p>
        </w:tc>
        <w:tc>
          <w:tcPr>
            <w:tcW w:w="613" w:type="pct"/>
            <w:vAlign w:val="center"/>
          </w:tcPr>
          <w:p w14:paraId="538600F2">
            <w:pPr>
              <w:jc w:val="center"/>
            </w:pPr>
          </w:p>
        </w:tc>
        <w:tc>
          <w:tcPr>
            <w:tcW w:w="611" w:type="pct"/>
            <w:vAlign w:val="center"/>
          </w:tcPr>
          <w:p w14:paraId="56DF29BE">
            <w:pPr>
              <w:jc w:val="center"/>
            </w:pPr>
          </w:p>
        </w:tc>
        <w:tc>
          <w:tcPr>
            <w:tcW w:w="397" w:type="pct"/>
            <w:tcBorders>
              <w:right w:val="single" w:color="000000" w:sz="10" w:space="0"/>
            </w:tcBorders>
            <w:vAlign w:val="center"/>
          </w:tcPr>
          <w:p w14:paraId="4A513218">
            <w:pPr>
              <w:jc w:val="center"/>
            </w:pPr>
          </w:p>
        </w:tc>
      </w:tr>
      <w:tr w14:paraId="2731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14" w:type="pct"/>
            <w:tcBorders>
              <w:left w:val="single" w:color="000000" w:sz="10" w:space="0"/>
            </w:tcBorders>
            <w:vAlign w:val="center"/>
          </w:tcPr>
          <w:p w14:paraId="798CB8CF">
            <w:pPr>
              <w:jc w:val="center"/>
            </w:pPr>
          </w:p>
        </w:tc>
        <w:tc>
          <w:tcPr>
            <w:tcW w:w="628" w:type="pct"/>
            <w:vAlign w:val="center"/>
          </w:tcPr>
          <w:p w14:paraId="269ADB4E">
            <w:pPr>
              <w:jc w:val="center"/>
            </w:pPr>
          </w:p>
        </w:tc>
        <w:tc>
          <w:tcPr>
            <w:tcW w:w="609" w:type="pct"/>
            <w:vAlign w:val="center"/>
          </w:tcPr>
          <w:p w14:paraId="1DDC0DCA">
            <w:pPr>
              <w:jc w:val="center"/>
            </w:pPr>
          </w:p>
        </w:tc>
        <w:tc>
          <w:tcPr>
            <w:tcW w:w="305" w:type="pct"/>
            <w:vAlign w:val="center"/>
          </w:tcPr>
          <w:p w14:paraId="1E09B8AE">
            <w:pPr>
              <w:jc w:val="center"/>
            </w:pPr>
          </w:p>
        </w:tc>
        <w:tc>
          <w:tcPr>
            <w:tcW w:w="370" w:type="pct"/>
            <w:vAlign w:val="center"/>
          </w:tcPr>
          <w:p w14:paraId="75FEAAD2">
            <w:pPr>
              <w:jc w:val="center"/>
            </w:pPr>
          </w:p>
        </w:tc>
        <w:tc>
          <w:tcPr>
            <w:tcW w:w="535" w:type="pct"/>
            <w:vAlign w:val="center"/>
          </w:tcPr>
          <w:p w14:paraId="45EC42A9">
            <w:pPr>
              <w:jc w:val="center"/>
            </w:pPr>
          </w:p>
        </w:tc>
        <w:tc>
          <w:tcPr>
            <w:tcW w:w="612" w:type="pct"/>
            <w:vAlign w:val="center"/>
          </w:tcPr>
          <w:p w14:paraId="13C6175A">
            <w:pPr>
              <w:jc w:val="center"/>
            </w:pPr>
          </w:p>
        </w:tc>
        <w:tc>
          <w:tcPr>
            <w:tcW w:w="613" w:type="pct"/>
            <w:vAlign w:val="center"/>
          </w:tcPr>
          <w:p w14:paraId="317A95E3">
            <w:pPr>
              <w:jc w:val="center"/>
            </w:pPr>
          </w:p>
        </w:tc>
        <w:tc>
          <w:tcPr>
            <w:tcW w:w="611" w:type="pct"/>
            <w:vAlign w:val="center"/>
          </w:tcPr>
          <w:p w14:paraId="46D4F62A">
            <w:pPr>
              <w:jc w:val="center"/>
            </w:pPr>
          </w:p>
        </w:tc>
        <w:tc>
          <w:tcPr>
            <w:tcW w:w="397" w:type="pct"/>
            <w:tcBorders>
              <w:right w:val="single" w:color="000000" w:sz="10" w:space="0"/>
            </w:tcBorders>
            <w:vAlign w:val="center"/>
          </w:tcPr>
          <w:p w14:paraId="72F474C8">
            <w:pPr>
              <w:jc w:val="center"/>
            </w:pPr>
          </w:p>
        </w:tc>
      </w:tr>
      <w:tr w14:paraId="06A12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14" w:type="pct"/>
            <w:tcBorders>
              <w:left w:val="single" w:color="000000" w:sz="10" w:space="0"/>
            </w:tcBorders>
            <w:vAlign w:val="center"/>
          </w:tcPr>
          <w:p w14:paraId="22B6EF77">
            <w:pPr>
              <w:jc w:val="center"/>
            </w:pPr>
          </w:p>
        </w:tc>
        <w:tc>
          <w:tcPr>
            <w:tcW w:w="628" w:type="pct"/>
            <w:vAlign w:val="center"/>
          </w:tcPr>
          <w:p w14:paraId="5F0D5C3B">
            <w:pPr>
              <w:jc w:val="center"/>
            </w:pPr>
          </w:p>
        </w:tc>
        <w:tc>
          <w:tcPr>
            <w:tcW w:w="609" w:type="pct"/>
            <w:vAlign w:val="center"/>
          </w:tcPr>
          <w:p w14:paraId="1E981F86">
            <w:pPr>
              <w:jc w:val="center"/>
            </w:pPr>
          </w:p>
        </w:tc>
        <w:tc>
          <w:tcPr>
            <w:tcW w:w="305" w:type="pct"/>
            <w:vAlign w:val="center"/>
          </w:tcPr>
          <w:p w14:paraId="4CFE1439">
            <w:pPr>
              <w:jc w:val="center"/>
            </w:pPr>
          </w:p>
        </w:tc>
        <w:tc>
          <w:tcPr>
            <w:tcW w:w="370" w:type="pct"/>
            <w:vAlign w:val="center"/>
          </w:tcPr>
          <w:p w14:paraId="4A5A9F8E">
            <w:pPr>
              <w:jc w:val="center"/>
            </w:pPr>
          </w:p>
        </w:tc>
        <w:tc>
          <w:tcPr>
            <w:tcW w:w="535" w:type="pct"/>
            <w:vAlign w:val="center"/>
          </w:tcPr>
          <w:p w14:paraId="11A7E40E">
            <w:pPr>
              <w:jc w:val="center"/>
            </w:pPr>
          </w:p>
        </w:tc>
        <w:tc>
          <w:tcPr>
            <w:tcW w:w="612" w:type="pct"/>
            <w:vAlign w:val="center"/>
          </w:tcPr>
          <w:p w14:paraId="70E49BEA">
            <w:pPr>
              <w:jc w:val="center"/>
            </w:pPr>
          </w:p>
        </w:tc>
        <w:tc>
          <w:tcPr>
            <w:tcW w:w="613" w:type="pct"/>
            <w:vAlign w:val="center"/>
          </w:tcPr>
          <w:p w14:paraId="0D3E4E02">
            <w:pPr>
              <w:jc w:val="center"/>
            </w:pPr>
          </w:p>
        </w:tc>
        <w:tc>
          <w:tcPr>
            <w:tcW w:w="611" w:type="pct"/>
            <w:vAlign w:val="center"/>
          </w:tcPr>
          <w:p w14:paraId="2A4348B8">
            <w:pPr>
              <w:jc w:val="center"/>
            </w:pPr>
          </w:p>
        </w:tc>
        <w:tc>
          <w:tcPr>
            <w:tcW w:w="397" w:type="pct"/>
            <w:tcBorders>
              <w:right w:val="single" w:color="000000" w:sz="10" w:space="0"/>
            </w:tcBorders>
            <w:vAlign w:val="center"/>
          </w:tcPr>
          <w:p w14:paraId="724971D7">
            <w:pPr>
              <w:jc w:val="center"/>
            </w:pPr>
          </w:p>
        </w:tc>
      </w:tr>
      <w:tr w14:paraId="03D1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14" w:type="pct"/>
            <w:tcBorders>
              <w:left w:val="single" w:color="000000" w:sz="10" w:space="0"/>
            </w:tcBorders>
            <w:vAlign w:val="center"/>
          </w:tcPr>
          <w:p w14:paraId="700A2631">
            <w:pPr>
              <w:jc w:val="center"/>
            </w:pPr>
          </w:p>
        </w:tc>
        <w:tc>
          <w:tcPr>
            <w:tcW w:w="628" w:type="pct"/>
            <w:vAlign w:val="center"/>
          </w:tcPr>
          <w:p w14:paraId="50680C9A">
            <w:pPr>
              <w:jc w:val="center"/>
            </w:pPr>
          </w:p>
        </w:tc>
        <w:tc>
          <w:tcPr>
            <w:tcW w:w="609" w:type="pct"/>
            <w:vAlign w:val="center"/>
          </w:tcPr>
          <w:p w14:paraId="42B851E0">
            <w:pPr>
              <w:jc w:val="center"/>
            </w:pPr>
          </w:p>
        </w:tc>
        <w:tc>
          <w:tcPr>
            <w:tcW w:w="305" w:type="pct"/>
            <w:vAlign w:val="center"/>
          </w:tcPr>
          <w:p w14:paraId="3429E7BA">
            <w:pPr>
              <w:jc w:val="center"/>
            </w:pPr>
          </w:p>
        </w:tc>
        <w:tc>
          <w:tcPr>
            <w:tcW w:w="370" w:type="pct"/>
            <w:vAlign w:val="center"/>
          </w:tcPr>
          <w:p w14:paraId="46AB8CE2">
            <w:pPr>
              <w:jc w:val="center"/>
            </w:pPr>
          </w:p>
        </w:tc>
        <w:tc>
          <w:tcPr>
            <w:tcW w:w="535" w:type="pct"/>
            <w:vAlign w:val="center"/>
          </w:tcPr>
          <w:p w14:paraId="3E488A6D">
            <w:pPr>
              <w:jc w:val="center"/>
            </w:pPr>
          </w:p>
        </w:tc>
        <w:tc>
          <w:tcPr>
            <w:tcW w:w="612" w:type="pct"/>
            <w:vAlign w:val="center"/>
          </w:tcPr>
          <w:p w14:paraId="7FF346A5">
            <w:pPr>
              <w:jc w:val="center"/>
            </w:pPr>
          </w:p>
        </w:tc>
        <w:tc>
          <w:tcPr>
            <w:tcW w:w="613" w:type="pct"/>
            <w:vAlign w:val="center"/>
          </w:tcPr>
          <w:p w14:paraId="32EA19FC">
            <w:pPr>
              <w:jc w:val="center"/>
            </w:pPr>
          </w:p>
        </w:tc>
        <w:tc>
          <w:tcPr>
            <w:tcW w:w="611" w:type="pct"/>
            <w:vAlign w:val="center"/>
          </w:tcPr>
          <w:p w14:paraId="59F39DB4">
            <w:pPr>
              <w:jc w:val="center"/>
            </w:pPr>
          </w:p>
        </w:tc>
        <w:tc>
          <w:tcPr>
            <w:tcW w:w="397" w:type="pct"/>
            <w:tcBorders>
              <w:right w:val="single" w:color="000000" w:sz="10" w:space="0"/>
            </w:tcBorders>
            <w:vAlign w:val="center"/>
          </w:tcPr>
          <w:p w14:paraId="71F5F554">
            <w:pPr>
              <w:jc w:val="center"/>
            </w:pPr>
          </w:p>
        </w:tc>
      </w:tr>
      <w:tr w14:paraId="7DB4A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14" w:type="pct"/>
            <w:tcBorders>
              <w:left w:val="single" w:color="000000" w:sz="10" w:space="0"/>
            </w:tcBorders>
            <w:vAlign w:val="center"/>
          </w:tcPr>
          <w:p w14:paraId="189F97A6">
            <w:pPr>
              <w:jc w:val="center"/>
            </w:pPr>
          </w:p>
        </w:tc>
        <w:tc>
          <w:tcPr>
            <w:tcW w:w="628" w:type="pct"/>
            <w:vAlign w:val="center"/>
          </w:tcPr>
          <w:p w14:paraId="3D89748D">
            <w:pPr>
              <w:jc w:val="center"/>
            </w:pPr>
          </w:p>
        </w:tc>
        <w:tc>
          <w:tcPr>
            <w:tcW w:w="609" w:type="pct"/>
            <w:vAlign w:val="center"/>
          </w:tcPr>
          <w:p w14:paraId="5D49165E">
            <w:pPr>
              <w:jc w:val="center"/>
            </w:pPr>
          </w:p>
        </w:tc>
        <w:tc>
          <w:tcPr>
            <w:tcW w:w="305" w:type="pct"/>
            <w:vAlign w:val="center"/>
          </w:tcPr>
          <w:p w14:paraId="57EC097C">
            <w:pPr>
              <w:jc w:val="center"/>
            </w:pPr>
          </w:p>
        </w:tc>
        <w:tc>
          <w:tcPr>
            <w:tcW w:w="370" w:type="pct"/>
            <w:vAlign w:val="center"/>
          </w:tcPr>
          <w:p w14:paraId="1534C51F">
            <w:pPr>
              <w:jc w:val="center"/>
            </w:pPr>
          </w:p>
        </w:tc>
        <w:tc>
          <w:tcPr>
            <w:tcW w:w="535" w:type="pct"/>
            <w:vAlign w:val="center"/>
          </w:tcPr>
          <w:p w14:paraId="247AFF65">
            <w:pPr>
              <w:jc w:val="center"/>
            </w:pPr>
          </w:p>
        </w:tc>
        <w:tc>
          <w:tcPr>
            <w:tcW w:w="612" w:type="pct"/>
            <w:vAlign w:val="center"/>
          </w:tcPr>
          <w:p w14:paraId="1DA483F6">
            <w:pPr>
              <w:jc w:val="center"/>
            </w:pPr>
          </w:p>
        </w:tc>
        <w:tc>
          <w:tcPr>
            <w:tcW w:w="613" w:type="pct"/>
            <w:vAlign w:val="center"/>
          </w:tcPr>
          <w:p w14:paraId="4B6725AB">
            <w:pPr>
              <w:jc w:val="center"/>
            </w:pPr>
          </w:p>
        </w:tc>
        <w:tc>
          <w:tcPr>
            <w:tcW w:w="611" w:type="pct"/>
            <w:vAlign w:val="center"/>
          </w:tcPr>
          <w:p w14:paraId="4F1CFEE4">
            <w:pPr>
              <w:jc w:val="center"/>
            </w:pPr>
          </w:p>
        </w:tc>
        <w:tc>
          <w:tcPr>
            <w:tcW w:w="397" w:type="pct"/>
            <w:tcBorders>
              <w:right w:val="single" w:color="000000" w:sz="10" w:space="0"/>
            </w:tcBorders>
            <w:vAlign w:val="center"/>
          </w:tcPr>
          <w:p w14:paraId="266B4EA4">
            <w:pPr>
              <w:jc w:val="center"/>
            </w:pPr>
          </w:p>
        </w:tc>
      </w:tr>
      <w:tr w14:paraId="45F5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14" w:type="pct"/>
            <w:tcBorders>
              <w:left w:val="single" w:color="000000" w:sz="10" w:space="0"/>
              <w:bottom w:val="single" w:color="000000" w:sz="10" w:space="0"/>
            </w:tcBorders>
            <w:vAlign w:val="center"/>
          </w:tcPr>
          <w:p w14:paraId="175B5858">
            <w:pPr>
              <w:jc w:val="center"/>
            </w:pPr>
          </w:p>
        </w:tc>
        <w:tc>
          <w:tcPr>
            <w:tcW w:w="628" w:type="pct"/>
            <w:tcBorders>
              <w:bottom w:val="single" w:color="000000" w:sz="10" w:space="0"/>
            </w:tcBorders>
            <w:vAlign w:val="center"/>
          </w:tcPr>
          <w:p w14:paraId="2658E3D7">
            <w:pPr>
              <w:jc w:val="center"/>
            </w:pPr>
          </w:p>
        </w:tc>
        <w:tc>
          <w:tcPr>
            <w:tcW w:w="609" w:type="pct"/>
            <w:tcBorders>
              <w:bottom w:val="single" w:color="000000" w:sz="10" w:space="0"/>
            </w:tcBorders>
            <w:vAlign w:val="center"/>
          </w:tcPr>
          <w:p w14:paraId="3B29679A">
            <w:pPr>
              <w:jc w:val="center"/>
            </w:pPr>
          </w:p>
        </w:tc>
        <w:tc>
          <w:tcPr>
            <w:tcW w:w="305" w:type="pct"/>
            <w:tcBorders>
              <w:bottom w:val="single" w:color="000000" w:sz="10" w:space="0"/>
            </w:tcBorders>
            <w:vAlign w:val="center"/>
          </w:tcPr>
          <w:p w14:paraId="3E785723">
            <w:pPr>
              <w:jc w:val="center"/>
            </w:pPr>
          </w:p>
        </w:tc>
        <w:tc>
          <w:tcPr>
            <w:tcW w:w="370" w:type="pct"/>
            <w:tcBorders>
              <w:bottom w:val="single" w:color="000000" w:sz="10" w:space="0"/>
            </w:tcBorders>
            <w:vAlign w:val="center"/>
          </w:tcPr>
          <w:p w14:paraId="29B3AB8A">
            <w:pPr>
              <w:jc w:val="center"/>
            </w:pPr>
          </w:p>
        </w:tc>
        <w:tc>
          <w:tcPr>
            <w:tcW w:w="535" w:type="pct"/>
            <w:tcBorders>
              <w:bottom w:val="single" w:color="000000" w:sz="10" w:space="0"/>
            </w:tcBorders>
            <w:vAlign w:val="center"/>
          </w:tcPr>
          <w:p w14:paraId="6CC88E18">
            <w:pPr>
              <w:jc w:val="center"/>
            </w:pPr>
          </w:p>
        </w:tc>
        <w:tc>
          <w:tcPr>
            <w:tcW w:w="612" w:type="pct"/>
            <w:tcBorders>
              <w:bottom w:val="single" w:color="000000" w:sz="10" w:space="0"/>
            </w:tcBorders>
            <w:vAlign w:val="center"/>
          </w:tcPr>
          <w:p w14:paraId="65001B10">
            <w:pPr>
              <w:jc w:val="center"/>
            </w:pPr>
          </w:p>
        </w:tc>
        <w:tc>
          <w:tcPr>
            <w:tcW w:w="613" w:type="pct"/>
            <w:tcBorders>
              <w:bottom w:val="single" w:color="000000" w:sz="10" w:space="0"/>
            </w:tcBorders>
            <w:vAlign w:val="center"/>
          </w:tcPr>
          <w:p w14:paraId="501B27D4">
            <w:pPr>
              <w:jc w:val="center"/>
            </w:pPr>
          </w:p>
        </w:tc>
        <w:tc>
          <w:tcPr>
            <w:tcW w:w="611" w:type="pct"/>
            <w:tcBorders>
              <w:bottom w:val="single" w:color="000000" w:sz="10" w:space="0"/>
            </w:tcBorders>
            <w:vAlign w:val="center"/>
          </w:tcPr>
          <w:p w14:paraId="3CD3C2E3">
            <w:pPr>
              <w:jc w:val="center"/>
            </w:pPr>
          </w:p>
        </w:tc>
        <w:tc>
          <w:tcPr>
            <w:tcW w:w="397" w:type="pct"/>
            <w:tcBorders>
              <w:bottom w:val="single" w:color="000000" w:sz="10" w:space="0"/>
              <w:right w:val="single" w:color="000000" w:sz="10" w:space="0"/>
            </w:tcBorders>
            <w:vAlign w:val="center"/>
          </w:tcPr>
          <w:p w14:paraId="22E85443">
            <w:pPr>
              <w:jc w:val="center"/>
            </w:pPr>
          </w:p>
        </w:tc>
      </w:tr>
    </w:tbl>
    <w:p w14:paraId="6CCB2205">
      <w:pPr>
        <w:pStyle w:val="3"/>
      </w:pPr>
    </w:p>
    <w:p w14:paraId="47E4FA2D">
      <w:pPr>
        <w:sectPr>
          <w:footerReference r:id="rId11" w:type="default"/>
          <w:pgSz w:w="11907" w:h="16839"/>
          <w:pgMar w:top="1431" w:right="1383" w:bottom="1350" w:left="1219" w:header="567" w:footer="850" w:gutter="0"/>
          <w:cols w:space="720" w:num="1"/>
        </w:sectPr>
      </w:pPr>
    </w:p>
    <w:p w14:paraId="365E5A9A">
      <w:pPr>
        <w:spacing w:before="59" w:line="219" w:lineRule="auto"/>
        <w:ind w:left="19"/>
        <w:outlineLvl w:val="3"/>
        <w:rPr>
          <w:rFonts w:hint="eastAsia" w:ascii="黑体" w:hAnsi="黑体" w:eastAsia="黑体" w:cs="黑体"/>
          <w:sz w:val="30"/>
          <w:szCs w:val="30"/>
        </w:rPr>
      </w:pPr>
      <w:r>
        <w:rPr>
          <w:rFonts w:ascii="黑体" w:hAnsi="黑体" w:eastAsia="黑体" w:cs="黑体"/>
          <w:b/>
          <w:bCs/>
          <w:spacing w:val="-6"/>
          <w:sz w:val="30"/>
          <w:szCs w:val="30"/>
        </w:rPr>
        <w:t>附件3工程质量保修书</w:t>
      </w:r>
    </w:p>
    <w:p w14:paraId="5CC6A002">
      <w:pPr>
        <w:pStyle w:val="3"/>
        <w:spacing w:line="241" w:lineRule="auto"/>
      </w:pPr>
    </w:p>
    <w:p w14:paraId="4AF5534E">
      <w:pPr>
        <w:spacing w:line="360" w:lineRule="auto"/>
        <w:ind w:left="4" w:firstLine="472" w:firstLineChars="200"/>
        <w:rPr>
          <w:rFonts w:hint="eastAsia" w:ascii="宋体" w:hAnsi="宋体" w:eastAsia="宋体" w:cs="宋体"/>
          <w:sz w:val="24"/>
          <w:szCs w:val="24"/>
          <w:lang w:eastAsia="zh-CN"/>
        </w:rPr>
      </w:pPr>
      <w:r>
        <w:rPr>
          <w:rFonts w:ascii="宋体" w:hAnsi="宋体" w:eastAsia="宋体" w:cs="宋体"/>
          <w:spacing w:val="-2"/>
          <w:sz w:val="24"/>
          <w:szCs w:val="24"/>
        </w:rPr>
        <w:t>发包人（全称）：</w:t>
      </w:r>
    </w:p>
    <w:p w14:paraId="4089A45D">
      <w:pPr>
        <w:spacing w:line="360" w:lineRule="auto"/>
        <w:ind w:firstLine="472" w:firstLineChars="200"/>
        <w:rPr>
          <w:rFonts w:hint="eastAsia" w:ascii="宋体" w:hAnsi="宋体" w:eastAsia="宋体" w:cs="宋体"/>
          <w:sz w:val="24"/>
          <w:szCs w:val="24"/>
          <w:lang w:eastAsia="zh-CN"/>
        </w:rPr>
      </w:pPr>
      <w:r>
        <w:rPr>
          <w:rFonts w:ascii="宋体" w:hAnsi="宋体" w:eastAsia="宋体" w:cs="宋体"/>
          <w:spacing w:val="-2"/>
          <w:sz w:val="24"/>
          <w:szCs w:val="24"/>
        </w:rPr>
        <w:t>承包人（全称</w:t>
      </w:r>
      <w:r>
        <w:rPr>
          <w:rFonts w:ascii="宋体" w:hAnsi="宋体" w:eastAsia="宋体" w:cs="宋体"/>
          <w:sz w:val="24"/>
          <w:szCs w:val="24"/>
        </w:rPr>
        <w:t>）：</w:t>
      </w:r>
    </w:p>
    <w:p w14:paraId="7B735322">
      <w:pPr>
        <w:spacing w:line="360" w:lineRule="auto"/>
        <w:ind w:right="173"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发包人和承包人根据《中华人民共和国建筑法》和《建设工程质量管理条例》，经协商一致就（工程全称）订立工程质量保修书。</w:t>
      </w:r>
    </w:p>
    <w:p w14:paraId="124926E8">
      <w:pPr>
        <w:spacing w:line="360" w:lineRule="auto"/>
        <w:ind w:left="4" w:firstLine="472" w:firstLineChars="200"/>
        <w:rPr>
          <w:rFonts w:hint="eastAsia" w:ascii="黑体" w:hAnsi="黑体" w:eastAsia="黑体" w:cs="黑体"/>
          <w:sz w:val="24"/>
          <w:szCs w:val="24"/>
          <w:lang w:eastAsia="zh-CN"/>
        </w:rPr>
      </w:pPr>
      <w:r>
        <w:rPr>
          <w:rFonts w:ascii="黑体" w:hAnsi="黑体" w:eastAsia="黑体" w:cs="黑体"/>
          <w:spacing w:val="-2"/>
          <w:sz w:val="24"/>
          <w:szCs w:val="24"/>
          <w:lang w:eastAsia="zh-CN"/>
        </w:rPr>
        <w:t>一、工程质量保修范围和内容</w:t>
      </w:r>
    </w:p>
    <w:p w14:paraId="1B6646F5">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承包人在质量保修期内，按照有关法律规定和合同约定，承担工程质量保修责任。</w:t>
      </w:r>
    </w:p>
    <w:p w14:paraId="3DBCF314">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4C62A73">
      <w:pPr>
        <w:spacing w:line="360" w:lineRule="auto"/>
        <w:ind w:left="4" w:firstLine="472" w:firstLineChars="200"/>
        <w:rPr>
          <w:rFonts w:hint="eastAsia" w:ascii="黑体" w:hAnsi="黑体" w:eastAsia="黑体" w:cs="黑体"/>
          <w:sz w:val="24"/>
          <w:szCs w:val="24"/>
          <w:lang w:eastAsia="zh-CN"/>
        </w:rPr>
      </w:pPr>
      <w:r>
        <w:rPr>
          <w:rFonts w:ascii="黑体" w:hAnsi="黑体" w:eastAsia="黑体" w:cs="黑体"/>
          <w:spacing w:val="-2"/>
          <w:sz w:val="24"/>
          <w:szCs w:val="24"/>
          <w:lang w:eastAsia="zh-CN"/>
        </w:rPr>
        <w:t>二、质量保修期</w:t>
      </w:r>
    </w:p>
    <w:p w14:paraId="11572BA3">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根据《建设工程质量管理条例》及有关规定，工程的质量保修期如下：</w:t>
      </w:r>
    </w:p>
    <w:p w14:paraId="5831C5FC">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1.地基基础工程和主体结构工程为设计文件规定的工程合理使用年限；</w:t>
      </w:r>
    </w:p>
    <w:p w14:paraId="0885301D">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2.屋面防水工程、有防水要求的卫生间、房间和外墙面的防渗为5年；</w:t>
      </w:r>
    </w:p>
    <w:p w14:paraId="78937AA9">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3.装修工程为2年；</w:t>
      </w:r>
    </w:p>
    <w:p w14:paraId="4CD59317">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4.电气管线、给排水管道、设备安装工程为2年；</w:t>
      </w:r>
    </w:p>
    <w:p w14:paraId="3878B033">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5.供热与供冷系统为2个采暖期、供冷期；</w:t>
      </w:r>
    </w:p>
    <w:p w14:paraId="090C5C03">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6.住宅小区内的给排水设施、道路等配套工程为5年；</w:t>
      </w:r>
    </w:p>
    <w:p w14:paraId="3A329D81">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7.其他项目保修期限约定如下：。</w:t>
      </w:r>
    </w:p>
    <w:p w14:paraId="42D14377">
      <w:pPr>
        <w:spacing w:line="360" w:lineRule="auto"/>
        <w:ind w:left="4"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质量保修期自工程竣工验收合格之日起计算。</w:t>
      </w:r>
    </w:p>
    <w:p w14:paraId="711611C1">
      <w:pPr>
        <w:spacing w:line="360" w:lineRule="auto"/>
        <w:ind w:left="485" w:firstLine="472" w:firstLineChars="200"/>
        <w:rPr>
          <w:rFonts w:hint="eastAsia" w:ascii="黑体" w:hAnsi="黑体" w:eastAsia="黑体" w:cs="黑体"/>
          <w:sz w:val="24"/>
          <w:szCs w:val="24"/>
          <w:lang w:eastAsia="zh-CN"/>
        </w:rPr>
      </w:pPr>
      <w:r>
        <w:rPr>
          <w:rFonts w:ascii="黑体" w:hAnsi="黑体" w:eastAsia="黑体" w:cs="黑体"/>
          <w:spacing w:val="-2"/>
          <w:sz w:val="24"/>
          <w:szCs w:val="24"/>
          <w:lang w:eastAsia="zh-CN"/>
        </w:rPr>
        <w:t>三、缺陷责任期</w:t>
      </w:r>
    </w:p>
    <w:p w14:paraId="76B41E08">
      <w:pPr>
        <w:spacing w:line="360" w:lineRule="auto"/>
        <w:ind w:left="2" w:firstLine="484" w:firstLineChars="200"/>
        <w:jc w:val="both"/>
        <w:rPr>
          <w:rFonts w:hint="eastAsia" w:ascii="宋体" w:hAnsi="宋体" w:eastAsia="宋体" w:cs="宋体"/>
          <w:sz w:val="24"/>
          <w:szCs w:val="24"/>
          <w:lang w:eastAsia="zh-CN"/>
        </w:rPr>
      </w:pPr>
      <w:r>
        <w:rPr>
          <w:rFonts w:ascii="宋体" w:hAnsi="宋体" w:eastAsia="宋体" w:cs="宋体"/>
          <w:spacing w:val="1"/>
          <w:sz w:val="24"/>
          <w:szCs w:val="24"/>
          <w:highlight w:val="none"/>
          <w:lang w:eastAsia="zh-CN"/>
        </w:rPr>
        <w:t>工程缺陷责任期为</w:t>
      </w:r>
      <w:r>
        <w:rPr>
          <w:rFonts w:ascii="Times New Roman" w:hAnsi="Times New Roman" w:eastAsia="Times New Roman" w:cs="Times New Roman"/>
          <w:spacing w:val="1"/>
          <w:sz w:val="24"/>
          <w:szCs w:val="24"/>
          <w:highlight w:val="none"/>
          <w:u w:val="single"/>
          <w:lang w:eastAsia="zh-CN"/>
        </w:rPr>
        <w:t>24</w:t>
      </w:r>
      <w:r>
        <w:rPr>
          <w:rFonts w:ascii="宋体" w:hAnsi="宋体" w:eastAsia="宋体" w:cs="宋体"/>
          <w:spacing w:val="1"/>
          <w:sz w:val="24"/>
          <w:szCs w:val="24"/>
          <w:highlight w:val="none"/>
          <w:lang w:eastAsia="zh-CN"/>
        </w:rPr>
        <w:t>个月，</w:t>
      </w:r>
      <w:r>
        <w:rPr>
          <w:rFonts w:ascii="宋体" w:hAnsi="宋体" w:eastAsia="宋体" w:cs="宋体"/>
          <w:spacing w:val="1"/>
          <w:sz w:val="24"/>
          <w:szCs w:val="24"/>
          <w:lang w:eastAsia="zh-CN"/>
        </w:rPr>
        <w:t>缺陷责任期自工程通过竣工验收之日起计算。</w:t>
      </w:r>
      <w:r>
        <w:rPr>
          <w:rFonts w:ascii="宋体" w:hAnsi="宋体" w:eastAsia="宋体" w:cs="宋体"/>
          <w:spacing w:val="2"/>
          <w:sz w:val="24"/>
          <w:szCs w:val="24"/>
          <w:lang w:eastAsia="zh-CN"/>
        </w:rPr>
        <w:t>单位工程先于全部工程进行验收，单位工程缺陷责任期自单位工程验收合格之</w:t>
      </w:r>
      <w:r>
        <w:rPr>
          <w:rFonts w:ascii="宋体" w:hAnsi="宋体" w:eastAsia="宋体" w:cs="宋体"/>
          <w:spacing w:val="-9"/>
          <w:sz w:val="24"/>
          <w:szCs w:val="24"/>
          <w:lang w:eastAsia="zh-CN"/>
        </w:rPr>
        <w:t>日起算。</w:t>
      </w:r>
    </w:p>
    <w:p w14:paraId="76F12219">
      <w:pPr>
        <w:spacing w:line="360" w:lineRule="auto"/>
        <w:ind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缺陷责任期终止后，发包人应返还剩余的质量保证金。</w:t>
      </w:r>
    </w:p>
    <w:p w14:paraId="1BB60967">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br w:type="page"/>
      </w:r>
    </w:p>
    <w:p w14:paraId="319372AF">
      <w:pPr>
        <w:spacing w:before="48" w:line="218" w:lineRule="auto"/>
        <w:ind w:left="496"/>
        <w:rPr>
          <w:rFonts w:hint="eastAsia" w:ascii="黑体" w:hAnsi="黑体" w:eastAsia="黑体" w:cs="黑体"/>
          <w:sz w:val="24"/>
          <w:szCs w:val="24"/>
          <w:lang w:eastAsia="zh-CN"/>
        </w:rPr>
      </w:pPr>
      <w:r>
        <w:rPr>
          <w:rFonts w:ascii="黑体" w:hAnsi="黑体" w:eastAsia="黑体" w:cs="黑体"/>
          <w:spacing w:val="-3"/>
          <w:sz w:val="24"/>
          <w:szCs w:val="24"/>
          <w:lang w:eastAsia="zh-CN"/>
        </w:rPr>
        <w:t>四、质量保修责任</w:t>
      </w:r>
    </w:p>
    <w:p w14:paraId="00A37B3F">
      <w:pPr>
        <w:spacing w:line="360" w:lineRule="auto"/>
        <w:ind w:left="2" w:right="1" w:firstLine="456" w:firstLineChars="200"/>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1.</w:t>
      </w:r>
      <w:r>
        <w:rPr>
          <w:rFonts w:ascii="宋体" w:hAnsi="宋体" w:eastAsia="宋体" w:cs="宋体"/>
          <w:spacing w:val="-6"/>
          <w:sz w:val="24"/>
          <w:szCs w:val="24"/>
          <w:lang w:eastAsia="zh-CN"/>
        </w:rPr>
        <w:t>属于保修范围、内容的项目，承包人应当在接到保修通知之日起</w:t>
      </w:r>
      <w:r>
        <w:rPr>
          <w:rFonts w:ascii="Times New Roman" w:hAnsi="Times New Roman" w:eastAsia="Times New Roman" w:cs="Times New Roman"/>
          <w:spacing w:val="-6"/>
          <w:sz w:val="24"/>
          <w:szCs w:val="24"/>
          <w:lang w:eastAsia="zh-CN"/>
        </w:rPr>
        <w:t>7</w:t>
      </w:r>
      <w:r>
        <w:rPr>
          <w:rFonts w:ascii="宋体" w:hAnsi="宋体" w:eastAsia="宋体" w:cs="宋体"/>
          <w:spacing w:val="-6"/>
          <w:sz w:val="24"/>
          <w:szCs w:val="24"/>
          <w:lang w:eastAsia="zh-CN"/>
        </w:rPr>
        <w:t>天内派人</w:t>
      </w:r>
      <w:r>
        <w:rPr>
          <w:rFonts w:ascii="宋体" w:hAnsi="宋体" w:eastAsia="宋体" w:cs="宋体"/>
          <w:spacing w:val="-2"/>
          <w:sz w:val="24"/>
          <w:szCs w:val="24"/>
          <w:lang w:eastAsia="zh-CN"/>
        </w:rPr>
        <w:t>保修。承包人不在约定期限内派人保修的，发包人可以委托他人修理。</w:t>
      </w:r>
    </w:p>
    <w:p w14:paraId="1ABBC0EF">
      <w:pPr>
        <w:spacing w:line="360" w:lineRule="auto"/>
        <w:ind w:right="6" w:firstLine="484" w:firstLineChars="20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发生紧急事故需抢修的，承包人在接到</w:t>
      </w:r>
      <w:r>
        <w:rPr>
          <w:rFonts w:ascii="宋体" w:hAnsi="宋体" w:eastAsia="宋体" w:cs="宋体"/>
          <w:sz w:val="24"/>
          <w:szCs w:val="24"/>
          <w:lang w:eastAsia="zh-CN"/>
        </w:rPr>
        <w:t>事故通知后，应当立即到达事故现</w:t>
      </w:r>
      <w:r>
        <w:rPr>
          <w:rFonts w:ascii="宋体" w:hAnsi="宋体" w:eastAsia="宋体" w:cs="宋体"/>
          <w:spacing w:val="-9"/>
          <w:sz w:val="24"/>
          <w:szCs w:val="24"/>
          <w:lang w:eastAsia="zh-CN"/>
        </w:rPr>
        <w:t>场抢修。</w:t>
      </w:r>
    </w:p>
    <w:p w14:paraId="2FE54846">
      <w:pPr>
        <w:spacing w:line="360" w:lineRule="auto"/>
        <w:ind w:left="1" w:firstLine="480" w:firstLineChars="200"/>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对于涉及结构安全的质量问题，应当按照《建设工程质量管理条例》的规</w:t>
      </w:r>
      <w:r>
        <w:rPr>
          <w:rFonts w:ascii="宋体" w:hAnsi="宋体" w:eastAsia="宋体" w:cs="宋体"/>
          <w:spacing w:val="-1"/>
          <w:sz w:val="24"/>
          <w:szCs w:val="24"/>
          <w:lang w:eastAsia="zh-CN"/>
        </w:rPr>
        <w:t>定，立即向当地建设行政主管部门和有关部门报告，采取安全防范措施</w:t>
      </w:r>
      <w:r>
        <w:rPr>
          <w:rFonts w:ascii="宋体" w:hAnsi="宋体" w:eastAsia="宋体" w:cs="宋体"/>
          <w:spacing w:val="-2"/>
          <w:sz w:val="24"/>
          <w:szCs w:val="24"/>
          <w:lang w:eastAsia="zh-CN"/>
        </w:rPr>
        <w:t>，并由承</w:t>
      </w:r>
      <w:r>
        <w:rPr>
          <w:rFonts w:ascii="宋体" w:hAnsi="宋体" w:eastAsia="宋体" w:cs="宋体"/>
          <w:spacing w:val="-1"/>
          <w:sz w:val="24"/>
          <w:szCs w:val="24"/>
          <w:lang w:eastAsia="zh-CN"/>
        </w:rPr>
        <w:t>包人提出保修方案，承包人将设计业务分包的，应由原设计分包人或</w:t>
      </w:r>
      <w:r>
        <w:rPr>
          <w:rFonts w:ascii="宋体" w:hAnsi="宋体" w:eastAsia="宋体" w:cs="宋体"/>
          <w:spacing w:val="-2"/>
          <w:sz w:val="24"/>
          <w:szCs w:val="24"/>
          <w:lang w:eastAsia="zh-CN"/>
        </w:rPr>
        <w:t>具有相应资质等级的设计人提出保修方案，承包人实施保修。</w:t>
      </w:r>
    </w:p>
    <w:p w14:paraId="0A12744C">
      <w:pPr>
        <w:spacing w:line="360" w:lineRule="auto"/>
        <w:ind w:left="1" w:firstLine="480" w:firstLineChars="200"/>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4.质量保修完成后，由发包人组织验收。</w:t>
      </w:r>
    </w:p>
    <w:p w14:paraId="01042EB0">
      <w:pPr>
        <w:spacing w:before="78" w:line="219" w:lineRule="auto"/>
        <w:ind w:left="8"/>
        <w:rPr>
          <w:rFonts w:hint="eastAsia" w:ascii="黑体" w:hAnsi="黑体" w:eastAsia="黑体" w:cs="黑体"/>
          <w:sz w:val="24"/>
          <w:szCs w:val="24"/>
          <w:lang w:eastAsia="zh-CN"/>
        </w:rPr>
      </w:pPr>
      <w:r>
        <w:rPr>
          <w:rFonts w:ascii="黑体" w:hAnsi="黑体" w:eastAsia="黑体" w:cs="黑体"/>
          <w:spacing w:val="-3"/>
          <w:sz w:val="24"/>
          <w:szCs w:val="24"/>
          <w:lang w:eastAsia="zh-CN"/>
        </w:rPr>
        <w:t>五、保修费用</w:t>
      </w:r>
    </w:p>
    <w:p w14:paraId="187FD212">
      <w:pPr>
        <w:spacing w:before="298" w:line="220" w:lineRule="auto"/>
        <w:ind w:left="482"/>
        <w:rPr>
          <w:rFonts w:hint="eastAsia" w:ascii="宋体" w:hAnsi="宋体" w:eastAsia="宋体" w:cs="宋体"/>
          <w:sz w:val="24"/>
          <w:szCs w:val="24"/>
          <w:lang w:eastAsia="zh-CN"/>
        </w:rPr>
      </w:pPr>
      <w:r>
        <w:rPr>
          <w:rFonts w:ascii="宋体" w:hAnsi="宋体" w:eastAsia="宋体" w:cs="宋体"/>
          <w:spacing w:val="-3"/>
          <w:sz w:val="24"/>
          <w:szCs w:val="24"/>
          <w:lang w:eastAsia="zh-CN"/>
        </w:rPr>
        <w:t>保修费用由造成质量缺陷的责任方承担。</w:t>
      </w:r>
    </w:p>
    <w:p w14:paraId="7AAABA3E">
      <w:pPr>
        <w:spacing w:before="302" w:line="218" w:lineRule="auto"/>
        <w:ind w:left="9"/>
        <w:rPr>
          <w:rFonts w:hint="eastAsia" w:ascii="宋体" w:hAnsi="宋体" w:eastAsia="宋体" w:cs="宋体"/>
          <w:sz w:val="24"/>
          <w:szCs w:val="24"/>
          <w:lang w:eastAsia="zh-CN"/>
        </w:rPr>
      </w:pPr>
      <w:r>
        <w:rPr>
          <w:rFonts w:ascii="黑体" w:hAnsi="黑体" w:eastAsia="黑体" w:cs="黑体"/>
          <w:sz w:val="24"/>
          <w:szCs w:val="24"/>
          <w:lang w:eastAsia="zh-CN"/>
        </w:rPr>
        <w:t>六、双方约定的其他工程质量保修事项</w:t>
      </w:r>
      <w:r>
        <w:rPr>
          <w:rFonts w:ascii="宋体" w:hAnsi="宋体" w:eastAsia="宋体" w:cs="宋体"/>
          <w:sz w:val="24"/>
          <w:szCs w:val="24"/>
          <w:lang w:eastAsia="zh-CN"/>
        </w:rPr>
        <w:t>：</w:t>
      </w:r>
      <w:r>
        <w:rPr>
          <w:rFonts w:ascii="宋体" w:hAnsi="宋体" w:eastAsia="宋体" w:cs="宋体"/>
          <w:sz w:val="24"/>
          <w:szCs w:val="24"/>
          <w:u w:val="single"/>
          <w:lang w:eastAsia="zh-CN"/>
        </w:rPr>
        <w:t>。</w:t>
      </w:r>
    </w:p>
    <w:p w14:paraId="02B7C4FA">
      <w:pPr>
        <w:spacing w:before="306" w:line="415" w:lineRule="auto"/>
        <w:ind w:left="8" w:right="97" w:firstLine="591"/>
        <w:rPr>
          <w:rFonts w:hint="eastAsia" w:ascii="宋体" w:hAnsi="宋体" w:eastAsia="宋体" w:cs="宋体"/>
          <w:sz w:val="24"/>
          <w:szCs w:val="24"/>
          <w:lang w:eastAsia="zh-CN"/>
        </w:rPr>
      </w:pPr>
      <w:r>
        <w:rPr>
          <w:rFonts w:ascii="宋体" w:hAnsi="宋体" w:eastAsia="宋体" w:cs="宋体"/>
          <w:spacing w:val="-1"/>
          <w:sz w:val="24"/>
          <w:szCs w:val="24"/>
          <w:lang w:eastAsia="zh-CN"/>
        </w:rPr>
        <w:t>工程质量保修书由发包人、承包人在工程竣工验收前共同签署，作为工程</w:t>
      </w:r>
      <w:r>
        <w:rPr>
          <w:rFonts w:ascii="宋体" w:hAnsi="宋体" w:eastAsia="宋体" w:cs="宋体"/>
          <w:spacing w:val="-3"/>
          <w:sz w:val="24"/>
          <w:szCs w:val="24"/>
          <w:lang w:eastAsia="zh-CN"/>
        </w:rPr>
        <w:t>总承包合同附件，其有效期限至保修期满。</w:t>
      </w:r>
    </w:p>
    <w:p w14:paraId="5F0C6663">
      <w:pPr>
        <w:pStyle w:val="3"/>
        <w:spacing w:line="254" w:lineRule="auto"/>
        <w:rPr>
          <w:lang w:eastAsia="zh-CN"/>
        </w:rPr>
      </w:pPr>
    </w:p>
    <w:p w14:paraId="79C0CD50">
      <w:pPr>
        <w:pStyle w:val="3"/>
        <w:spacing w:line="255" w:lineRule="auto"/>
        <w:rPr>
          <w:lang w:eastAsia="zh-CN"/>
        </w:rPr>
      </w:pPr>
    </w:p>
    <w:p w14:paraId="749175BD">
      <w:pPr>
        <w:spacing w:before="78" w:line="219" w:lineRule="auto"/>
        <w:ind w:left="5"/>
        <w:rPr>
          <w:rFonts w:hint="eastAsia" w:ascii="宋体" w:hAnsi="宋体" w:eastAsia="宋体" w:cs="宋体"/>
          <w:sz w:val="24"/>
          <w:szCs w:val="24"/>
          <w:lang w:eastAsia="zh-CN"/>
        </w:rPr>
      </w:pPr>
      <w:r>
        <w:rPr>
          <w:rFonts w:ascii="宋体" w:hAnsi="宋体" w:eastAsia="宋体" w:cs="宋体"/>
          <w:spacing w:val="-5"/>
          <w:sz w:val="24"/>
          <w:szCs w:val="24"/>
          <w:lang w:eastAsia="zh-CN"/>
        </w:rPr>
        <w:t>发包人（公章</w:t>
      </w:r>
      <w:r>
        <w:rPr>
          <w:rFonts w:ascii="宋体" w:hAnsi="宋体" w:eastAsia="宋体" w:cs="宋体"/>
          <w:spacing w:val="-3"/>
          <w:sz w:val="24"/>
          <w:szCs w:val="24"/>
          <w:lang w:eastAsia="zh-CN"/>
        </w:rPr>
        <w:t>）：</w:t>
      </w:r>
      <w:r>
        <w:rPr>
          <w:rFonts w:ascii="宋体" w:hAnsi="宋体" w:eastAsia="宋体" w:cs="宋体"/>
          <w:spacing w:val="-5"/>
          <w:sz w:val="24"/>
          <w:szCs w:val="24"/>
          <w:lang w:eastAsia="zh-CN"/>
        </w:rPr>
        <w:t>承包人（公章</w:t>
      </w:r>
      <w:r>
        <w:rPr>
          <w:rFonts w:ascii="宋体" w:hAnsi="宋体" w:eastAsia="宋体" w:cs="宋体"/>
          <w:spacing w:val="-3"/>
          <w:sz w:val="24"/>
          <w:szCs w:val="24"/>
          <w:lang w:eastAsia="zh-CN"/>
        </w:rPr>
        <w:t>）：</w:t>
      </w:r>
    </w:p>
    <w:p w14:paraId="0B5EC149">
      <w:pPr>
        <w:spacing w:before="289" w:line="229" w:lineRule="auto"/>
        <w:ind w:left="1"/>
        <w:rPr>
          <w:rFonts w:hint="eastAsia" w:ascii="宋体" w:hAnsi="宋体" w:eastAsia="宋体" w:cs="宋体"/>
          <w:sz w:val="24"/>
          <w:szCs w:val="24"/>
          <w:lang w:eastAsia="zh-CN"/>
        </w:rPr>
      </w:pPr>
      <w:r>
        <w:rPr>
          <w:rFonts w:ascii="宋体" w:hAnsi="宋体" w:eastAsia="宋体" w:cs="宋体"/>
          <w:spacing w:val="-5"/>
          <w:sz w:val="24"/>
          <w:szCs w:val="24"/>
          <w:lang w:eastAsia="zh-CN"/>
        </w:rPr>
        <w:t>地址：地</w:t>
      </w:r>
      <w:r>
        <w:rPr>
          <w:rFonts w:ascii="宋体" w:hAnsi="宋体" w:eastAsia="宋体" w:cs="宋体"/>
          <w:spacing w:val="-6"/>
          <w:sz w:val="24"/>
          <w:szCs w:val="24"/>
          <w:lang w:eastAsia="zh-CN"/>
        </w:rPr>
        <w:t>址：</w:t>
      </w:r>
    </w:p>
    <w:p w14:paraId="4D29B71B">
      <w:pPr>
        <w:spacing w:before="278" w:line="220" w:lineRule="auto"/>
        <w:ind w:left="2"/>
        <w:rPr>
          <w:rFonts w:hint="eastAsia" w:ascii="宋体" w:hAnsi="宋体" w:eastAsia="宋体" w:cs="宋体"/>
          <w:sz w:val="24"/>
          <w:szCs w:val="24"/>
          <w:lang w:eastAsia="zh-CN"/>
        </w:rPr>
      </w:pPr>
      <w:r>
        <w:rPr>
          <w:rFonts w:ascii="宋体" w:hAnsi="宋体" w:eastAsia="宋体" w:cs="宋体"/>
          <w:spacing w:val="-4"/>
          <w:sz w:val="24"/>
          <w:szCs w:val="24"/>
          <w:lang w:eastAsia="zh-CN"/>
        </w:rPr>
        <w:t>法定代表人（签字</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法定代表人（签字</w:t>
      </w:r>
      <w:r>
        <w:rPr>
          <w:rFonts w:ascii="宋体" w:hAnsi="宋体" w:eastAsia="宋体" w:cs="宋体"/>
          <w:spacing w:val="-2"/>
          <w:sz w:val="24"/>
          <w:szCs w:val="24"/>
          <w:lang w:eastAsia="zh-CN"/>
        </w:rPr>
        <w:t>）：</w:t>
      </w:r>
    </w:p>
    <w:p w14:paraId="54625961">
      <w:pPr>
        <w:spacing w:before="290" w:line="220" w:lineRule="auto"/>
        <w:rPr>
          <w:rFonts w:hint="eastAsia" w:ascii="宋体" w:hAnsi="宋体" w:eastAsia="宋体" w:cs="宋体"/>
          <w:sz w:val="24"/>
          <w:szCs w:val="24"/>
          <w:lang w:eastAsia="zh-CN"/>
        </w:rPr>
      </w:pPr>
      <w:r>
        <w:rPr>
          <w:rFonts w:ascii="宋体" w:hAnsi="宋体" w:eastAsia="宋体" w:cs="宋体"/>
          <w:spacing w:val="-4"/>
          <w:sz w:val="24"/>
          <w:szCs w:val="24"/>
          <w:lang w:eastAsia="zh-CN"/>
        </w:rPr>
        <w:t>委托代理人（签字</w:t>
      </w:r>
      <w:r>
        <w:rPr>
          <w:rFonts w:ascii="宋体" w:hAnsi="宋体" w:eastAsia="宋体" w:cs="宋体"/>
          <w:spacing w:val="-1"/>
          <w:sz w:val="24"/>
          <w:szCs w:val="24"/>
          <w:lang w:eastAsia="zh-CN"/>
        </w:rPr>
        <w:t>）：</w:t>
      </w:r>
      <w:r>
        <w:rPr>
          <w:rFonts w:ascii="宋体" w:hAnsi="宋体" w:eastAsia="宋体" w:cs="宋体"/>
          <w:spacing w:val="-4"/>
          <w:sz w:val="24"/>
          <w:szCs w:val="24"/>
          <w:lang w:eastAsia="zh-CN"/>
        </w:rPr>
        <w:t>委托代理人（签字</w:t>
      </w:r>
      <w:r>
        <w:rPr>
          <w:rFonts w:ascii="宋体" w:hAnsi="宋体" w:eastAsia="宋体" w:cs="宋体"/>
          <w:spacing w:val="-1"/>
          <w:sz w:val="24"/>
          <w:szCs w:val="24"/>
          <w:lang w:eastAsia="zh-CN"/>
        </w:rPr>
        <w:t>）：</w:t>
      </w:r>
    </w:p>
    <w:p w14:paraId="5C0BBE85">
      <w:pPr>
        <w:spacing w:before="290" w:line="222" w:lineRule="auto"/>
        <w:ind w:left="30"/>
        <w:rPr>
          <w:rFonts w:hint="eastAsia" w:ascii="宋体" w:hAnsi="宋体" w:eastAsia="宋体" w:cs="宋体"/>
          <w:sz w:val="24"/>
          <w:szCs w:val="24"/>
          <w:lang w:eastAsia="zh-CN"/>
        </w:rPr>
      </w:pPr>
      <w:r>
        <w:rPr>
          <w:rFonts w:ascii="宋体" w:hAnsi="宋体" w:eastAsia="宋体" w:cs="宋体"/>
          <w:spacing w:val="-20"/>
          <w:sz w:val="24"/>
          <w:szCs w:val="24"/>
          <w:lang w:eastAsia="zh-CN"/>
        </w:rPr>
        <w:t>电话：电话：</w:t>
      </w:r>
    </w:p>
    <w:p w14:paraId="4998DDD1">
      <w:pPr>
        <w:spacing w:before="101" w:line="219" w:lineRule="auto"/>
        <w:rPr>
          <w:rFonts w:hint="eastAsia" w:ascii="宋体" w:hAnsi="宋体" w:eastAsia="宋体" w:cs="宋体"/>
          <w:sz w:val="24"/>
          <w:szCs w:val="24"/>
          <w:lang w:eastAsia="zh-CN"/>
        </w:rPr>
      </w:pPr>
      <w:r>
        <w:rPr>
          <w:rFonts w:ascii="宋体" w:hAnsi="宋体" w:eastAsia="宋体" w:cs="宋体"/>
          <w:spacing w:val="-5"/>
          <w:sz w:val="24"/>
          <w:szCs w:val="24"/>
          <w:lang w:eastAsia="zh-CN"/>
        </w:rPr>
        <w:t>传真：传</w:t>
      </w:r>
      <w:r>
        <w:rPr>
          <w:rFonts w:ascii="宋体" w:hAnsi="宋体" w:eastAsia="宋体" w:cs="宋体"/>
          <w:spacing w:val="-6"/>
          <w:sz w:val="24"/>
          <w:szCs w:val="24"/>
          <w:lang w:eastAsia="zh-CN"/>
        </w:rPr>
        <w:t>真：</w:t>
      </w:r>
    </w:p>
    <w:p w14:paraId="08826B2D">
      <w:pPr>
        <w:spacing w:before="302" w:line="220" w:lineRule="auto"/>
        <w:ind w:left="2"/>
        <w:rPr>
          <w:rFonts w:hint="eastAsia" w:ascii="宋体" w:hAnsi="宋体" w:eastAsia="宋体" w:cs="宋体"/>
          <w:sz w:val="24"/>
          <w:szCs w:val="24"/>
          <w:lang w:eastAsia="zh-CN"/>
        </w:rPr>
      </w:pPr>
      <w:r>
        <w:rPr>
          <w:rFonts w:ascii="宋体" w:hAnsi="宋体" w:eastAsia="宋体" w:cs="宋体"/>
          <w:spacing w:val="-7"/>
          <w:sz w:val="24"/>
          <w:szCs w:val="24"/>
          <w:lang w:eastAsia="zh-CN"/>
        </w:rPr>
        <w:t>开户银行：开户银行：</w:t>
      </w:r>
    </w:p>
    <w:p w14:paraId="0E56656F">
      <w:pPr>
        <w:spacing w:before="299" w:line="221" w:lineRule="auto"/>
        <w:ind w:left="5"/>
        <w:rPr>
          <w:rFonts w:hint="eastAsia" w:ascii="宋体" w:hAnsi="宋体" w:eastAsia="宋体" w:cs="宋体"/>
          <w:sz w:val="24"/>
          <w:szCs w:val="24"/>
          <w:lang w:eastAsia="zh-CN"/>
        </w:rPr>
      </w:pPr>
      <w:r>
        <w:rPr>
          <w:rFonts w:ascii="宋体" w:hAnsi="宋体" w:eastAsia="宋体" w:cs="宋体"/>
          <w:spacing w:val="-13"/>
          <w:sz w:val="24"/>
          <w:szCs w:val="24"/>
          <w:lang w:eastAsia="zh-CN"/>
        </w:rPr>
        <w:t>账号：账号：</w:t>
      </w:r>
    </w:p>
    <w:p w14:paraId="237DFCC3">
      <w:pPr>
        <w:spacing w:before="295" w:line="220" w:lineRule="auto"/>
        <w:ind w:left="19"/>
        <w:rPr>
          <w:rFonts w:hint="eastAsia" w:ascii="宋体" w:hAnsi="宋体" w:eastAsia="宋体" w:cs="宋体"/>
          <w:spacing w:val="-6"/>
          <w:sz w:val="24"/>
          <w:szCs w:val="24"/>
          <w:lang w:eastAsia="zh-CN"/>
        </w:rPr>
      </w:pPr>
      <w:r>
        <w:rPr>
          <w:rFonts w:ascii="宋体" w:hAnsi="宋体" w:eastAsia="宋体" w:cs="宋体"/>
          <w:spacing w:val="-6"/>
          <w:sz w:val="24"/>
          <w:szCs w:val="24"/>
          <w:lang w:eastAsia="zh-CN"/>
        </w:rPr>
        <w:t>邮政编码：邮政编码：</w:t>
      </w:r>
    </w:p>
    <w:p w14:paraId="3356897A">
      <w:pPr>
        <w:spacing w:before="295" w:line="220" w:lineRule="auto"/>
        <w:ind w:left="19"/>
        <w:rPr>
          <w:rFonts w:hint="eastAsia" w:ascii="宋体" w:hAnsi="宋体" w:eastAsia="宋体" w:cs="宋体"/>
          <w:spacing w:val="-6"/>
          <w:sz w:val="24"/>
          <w:szCs w:val="24"/>
          <w:lang w:eastAsia="zh-CN"/>
        </w:rPr>
      </w:pPr>
    </w:p>
    <w:p w14:paraId="19E4CF7C">
      <w:pPr>
        <w:spacing w:line="220" w:lineRule="auto"/>
        <w:rPr>
          <w:rFonts w:hint="eastAsia" w:ascii="宋体" w:hAnsi="宋体" w:eastAsia="宋体" w:cs="宋体"/>
          <w:sz w:val="24"/>
          <w:szCs w:val="24"/>
          <w:lang w:eastAsia="zh-CN"/>
        </w:rPr>
        <w:sectPr>
          <w:footerReference r:id="rId12" w:type="default"/>
          <w:pgSz w:w="11907" w:h="16839"/>
          <w:pgMar w:top="1176" w:right="1765" w:bottom="1350" w:left="1776" w:header="0" w:footer="1145" w:gutter="0"/>
          <w:cols w:space="720" w:num="1"/>
        </w:sectPr>
      </w:pPr>
    </w:p>
    <w:p w14:paraId="79F88A6E">
      <w:pPr>
        <w:spacing w:before="59" w:line="219" w:lineRule="auto"/>
        <w:ind w:left="114"/>
        <w:rPr>
          <w:rFonts w:hint="eastAsia" w:ascii="黑体" w:hAnsi="黑体" w:eastAsia="黑体" w:cs="黑体"/>
          <w:sz w:val="30"/>
          <w:szCs w:val="30"/>
          <w:lang w:eastAsia="zh-CN"/>
        </w:rPr>
      </w:pPr>
      <w:r>
        <w:rPr>
          <w:rFonts w:ascii="黑体" w:hAnsi="黑体" w:eastAsia="黑体" w:cs="黑体"/>
          <w:b/>
          <w:bCs/>
          <w:spacing w:val="-4"/>
          <w:sz w:val="30"/>
          <w:szCs w:val="30"/>
          <w:lang w:eastAsia="zh-CN"/>
        </w:rPr>
        <w:t>附件4主要建设工程文件目录</w:t>
      </w:r>
    </w:p>
    <w:p w14:paraId="4EE39B9D">
      <w:pPr>
        <w:spacing w:before="23"/>
        <w:rPr>
          <w:lang w:eastAsia="zh-CN"/>
        </w:rPr>
      </w:pPr>
    </w:p>
    <w:tbl>
      <w:tblPr>
        <w:tblStyle w:val="3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27"/>
        <w:gridCol w:w="1259"/>
        <w:gridCol w:w="1430"/>
        <w:gridCol w:w="1227"/>
        <w:gridCol w:w="1430"/>
        <w:gridCol w:w="1673"/>
      </w:tblGrid>
      <w:tr w14:paraId="0971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62" w:type="pct"/>
            <w:tcBorders>
              <w:top w:val="single" w:color="000000" w:sz="10" w:space="0"/>
              <w:left w:val="single" w:color="000000" w:sz="10" w:space="0"/>
            </w:tcBorders>
            <w:vAlign w:val="center"/>
          </w:tcPr>
          <w:p w14:paraId="0CD5C768">
            <w:pPr>
              <w:spacing w:line="360" w:lineRule="auto"/>
              <w:ind w:left="13"/>
              <w:jc w:val="center"/>
              <w:rPr>
                <w:rFonts w:hint="eastAsia" w:ascii="宋体" w:hAnsi="宋体" w:eastAsia="宋体" w:cs="宋体"/>
              </w:rPr>
            </w:pPr>
            <w:r>
              <w:rPr>
                <w:rFonts w:ascii="宋体" w:hAnsi="宋体" w:eastAsia="宋体" w:cs="宋体"/>
                <w:spacing w:val="-2"/>
              </w:rPr>
              <w:t>文件名称</w:t>
            </w:r>
          </w:p>
        </w:tc>
        <w:tc>
          <w:tcPr>
            <w:tcW w:w="688" w:type="pct"/>
            <w:tcBorders>
              <w:top w:val="single" w:color="000000" w:sz="10" w:space="0"/>
            </w:tcBorders>
            <w:vAlign w:val="center"/>
          </w:tcPr>
          <w:p w14:paraId="004F8D71">
            <w:pPr>
              <w:spacing w:line="360" w:lineRule="auto"/>
              <w:ind w:left="4"/>
              <w:jc w:val="center"/>
              <w:rPr>
                <w:rFonts w:hint="eastAsia" w:ascii="宋体" w:hAnsi="宋体" w:eastAsia="宋体" w:cs="宋体"/>
              </w:rPr>
            </w:pPr>
            <w:r>
              <w:rPr>
                <w:rFonts w:ascii="宋体" w:hAnsi="宋体" w:eastAsia="宋体" w:cs="宋体"/>
                <w:spacing w:val="-2"/>
              </w:rPr>
              <w:t>套数</w:t>
            </w:r>
          </w:p>
        </w:tc>
        <w:tc>
          <w:tcPr>
            <w:tcW w:w="781" w:type="pct"/>
            <w:tcBorders>
              <w:top w:val="single" w:color="000000" w:sz="10" w:space="0"/>
            </w:tcBorders>
            <w:vAlign w:val="center"/>
          </w:tcPr>
          <w:p w14:paraId="06F1E56C">
            <w:pPr>
              <w:spacing w:line="360" w:lineRule="auto"/>
              <w:ind w:left="18"/>
              <w:jc w:val="center"/>
              <w:rPr>
                <w:rFonts w:hint="eastAsia" w:ascii="宋体" w:hAnsi="宋体" w:eastAsia="宋体" w:cs="宋体"/>
              </w:rPr>
            </w:pPr>
            <w:r>
              <w:rPr>
                <w:rFonts w:ascii="宋体" w:hAnsi="宋体" w:eastAsia="宋体" w:cs="宋体"/>
                <w:spacing w:val="-7"/>
              </w:rPr>
              <w:t>费用（元）</w:t>
            </w:r>
          </w:p>
        </w:tc>
        <w:tc>
          <w:tcPr>
            <w:tcW w:w="670" w:type="pct"/>
            <w:tcBorders>
              <w:top w:val="single" w:color="000000" w:sz="10" w:space="0"/>
            </w:tcBorders>
            <w:vAlign w:val="center"/>
          </w:tcPr>
          <w:p w14:paraId="08FB0AA6">
            <w:pPr>
              <w:spacing w:line="360" w:lineRule="auto"/>
              <w:ind w:left="11"/>
              <w:jc w:val="center"/>
              <w:rPr>
                <w:rFonts w:hint="eastAsia" w:ascii="宋体" w:hAnsi="宋体" w:eastAsia="宋体" w:cs="宋体"/>
              </w:rPr>
            </w:pPr>
            <w:r>
              <w:rPr>
                <w:rFonts w:ascii="宋体" w:hAnsi="宋体" w:eastAsia="宋体" w:cs="宋体"/>
                <w:spacing w:val="-2"/>
              </w:rPr>
              <w:t>质量</w:t>
            </w:r>
          </w:p>
        </w:tc>
        <w:tc>
          <w:tcPr>
            <w:tcW w:w="781" w:type="pct"/>
            <w:tcBorders>
              <w:top w:val="single" w:color="000000" w:sz="10" w:space="0"/>
            </w:tcBorders>
            <w:vAlign w:val="center"/>
          </w:tcPr>
          <w:p w14:paraId="21D43CD1">
            <w:pPr>
              <w:spacing w:line="360" w:lineRule="auto"/>
              <w:ind w:left="15"/>
              <w:jc w:val="center"/>
              <w:rPr>
                <w:rFonts w:hint="eastAsia" w:ascii="宋体" w:hAnsi="宋体" w:eastAsia="宋体" w:cs="宋体"/>
              </w:rPr>
            </w:pPr>
            <w:r>
              <w:rPr>
                <w:rFonts w:ascii="宋体" w:hAnsi="宋体" w:eastAsia="宋体" w:cs="宋体"/>
                <w:spacing w:val="-2"/>
              </w:rPr>
              <w:t>移交时间</w:t>
            </w:r>
          </w:p>
        </w:tc>
        <w:tc>
          <w:tcPr>
            <w:tcW w:w="914" w:type="pct"/>
            <w:tcBorders>
              <w:top w:val="single" w:color="000000" w:sz="10" w:space="0"/>
              <w:right w:val="single" w:color="000000" w:sz="10" w:space="0"/>
            </w:tcBorders>
            <w:vAlign w:val="center"/>
          </w:tcPr>
          <w:p w14:paraId="662DE330">
            <w:pPr>
              <w:spacing w:line="360" w:lineRule="auto"/>
              <w:ind w:left="26"/>
              <w:jc w:val="center"/>
              <w:rPr>
                <w:rFonts w:hint="eastAsia" w:ascii="宋体" w:hAnsi="宋体" w:eastAsia="宋体" w:cs="宋体"/>
              </w:rPr>
            </w:pPr>
            <w:r>
              <w:rPr>
                <w:rFonts w:ascii="宋体" w:hAnsi="宋体" w:eastAsia="宋体" w:cs="宋体"/>
                <w:spacing w:val="-3"/>
              </w:rPr>
              <w:t>责任人</w:t>
            </w:r>
          </w:p>
        </w:tc>
      </w:tr>
      <w:tr w14:paraId="0FE1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1162" w:type="pct"/>
            <w:tcBorders>
              <w:left w:val="single" w:color="000000" w:sz="10" w:space="0"/>
            </w:tcBorders>
            <w:vAlign w:val="center"/>
          </w:tcPr>
          <w:p w14:paraId="62CACD86">
            <w:pPr>
              <w:spacing w:line="360" w:lineRule="auto"/>
              <w:jc w:val="both"/>
            </w:pPr>
          </w:p>
        </w:tc>
        <w:tc>
          <w:tcPr>
            <w:tcW w:w="688" w:type="pct"/>
            <w:vAlign w:val="center"/>
          </w:tcPr>
          <w:p w14:paraId="193B75FC">
            <w:pPr>
              <w:spacing w:line="360" w:lineRule="auto"/>
              <w:jc w:val="both"/>
            </w:pPr>
          </w:p>
        </w:tc>
        <w:tc>
          <w:tcPr>
            <w:tcW w:w="781" w:type="pct"/>
            <w:vAlign w:val="center"/>
          </w:tcPr>
          <w:p w14:paraId="1929F208">
            <w:pPr>
              <w:spacing w:line="360" w:lineRule="auto"/>
              <w:jc w:val="both"/>
            </w:pPr>
          </w:p>
        </w:tc>
        <w:tc>
          <w:tcPr>
            <w:tcW w:w="670" w:type="pct"/>
            <w:vAlign w:val="center"/>
          </w:tcPr>
          <w:p w14:paraId="7936DA32">
            <w:pPr>
              <w:spacing w:line="360" w:lineRule="auto"/>
              <w:jc w:val="both"/>
            </w:pPr>
          </w:p>
        </w:tc>
        <w:tc>
          <w:tcPr>
            <w:tcW w:w="781" w:type="pct"/>
            <w:vAlign w:val="center"/>
          </w:tcPr>
          <w:p w14:paraId="485DA055">
            <w:pPr>
              <w:spacing w:line="360" w:lineRule="auto"/>
              <w:jc w:val="both"/>
            </w:pPr>
          </w:p>
        </w:tc>
        <w:tc>
          <w:tcPr>
            <w:tcW w:w="914" w:type="pct"/>
            <w:tcBorders>
              <w:right w:val="single" w:color="000000" w:sz="10" w:space="0"/>
            </w:tcBorders>
            <w:vAlign w:val="center"/>
          </w:tcPr>
          <w:p w14:paraId="4ADCB392">
            <w:pPr>
              <w:spacing w:line="360" w:lineRule="auto"/>
              <w:jc w:val="both"/>
            </w:pPr>
          </w:p>
        </w:tc>
      </w:tr>
      <w:tr w14:paraId="0BBF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62" w:type="pct"/>
            <w:tcBorders>
              <w:left w:val="single" w:color="000000" w:sz="10" w:space="0"/>
            </w:tcBorders>
            <w:vAlign w:val="center"/>
          </w:tcPr>
          <w:p w14:paraId="63C07BEF">
            <w:pPr>
              <w:spacing w:line="360" w:lineRule="auto"/>
              <w:jc w:val="both"/>
            </w:pPr>
          </w:p>
        </w:tc>
        <w:tc>
          <w:tcPr>
            <w:tcW w:w="688" w:type="pct"/>
            <w:vAlign w:val="center"/>
          </w:tcPr>
          <w:p w14:paraId="6A5F64AD">
            <w:pPr>
              <w:spacing w:line="360" w:lineRule="auto"/>
              <w:jc w:val="both"/>
            </w:pPr>
          </w:p>
        </w:tc>
        <w:tc>
          <w:tcPr>
            <w:tcW w:w="781" w:type="pct"/>
            <w:vAlign w:val="center"/>
          </w:tcPr>
          <w:p w14:paraId="68A62D6B">
            <w:pPr>
              <w:spacing w:line="360" w:lineRule="auto"/>
              <w:jc w:val="both"/>
            </w:pPr>
          </w:p>
        </w:tc>
        <w:tc>
          <w:tcPr>
            <w:tcW w:w="670" w:type="pct"/>
            <w:vAlign w:val="center"/>
          </w:tcPr>
          <w:p w14:paraId="4A294347">
            <w:pPr>
              <w:spacing w:line="360" w:lineRule="auto"/>
              <w:jc w:val="both"/>
            </w:pPr>
          </w:p>
        </w:tc>
        <w:tc>
          <w:tcPr>
            <w:tcW w:w="781" w:type="pct"/>
            <w:vAlign w:val="center"/>
          </w:tcPr>
          <w:p w14:paraId="2C06D9BB">
            <w:pPr>
              <w:spacing w:line="360" w:lineRule="auto"/>
              <w:jc w:val="both"/>
            </w:pPr>
          </w:p>
        </w:tc>
        <w:tc>
          <w:tcPr>
            <w:tcW w:w="914" w:type="pct"/>
            <w:tcBorders>
              <w:right w:val="single" w:color="000000" w:sz="10" w:space="0"/>
            </w:tcBorders>
            <w:vAlign w:val="center"/>
          </w:tcPr>
          <w:p w14:paraId="1DDB93BB">
            <w:pPr>
              <w:spacing w:line="360" w:lineRule="auto"/>
              <w:jc w:val="both"/>
            </w:pPr>
          </w:p>
        </w:tc>
      </w:tr>
      <w:tr w14:paraId="708CA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162" w:type="pct"/>
            <w:tcBorders>
              <w:left w:val="single" w:color="000000" w:sz="10" w:space="0"/>
            </w:tcBorders>
            <w:vAlign w:val="center"/>
          </w:tcPr>
          <w:p w14:paraId="4239408D">
            <w:pPr>
              <w:spacing w:line="360" w:lineRule="auto"/>
              <w:jc w:val="both"/>
            </w:pPr>
          </w:p>
        </w:tc>
        <w:tc>
          <w:tcPr>
            <w:tcW w:w="688" w:type="pct"/>
            <w:vAlign w:val="center"/>
          </w:tcPr>
          <w:p w14:paraId="296E4A0D">
            <w:pPr>
              <w:spacing w:line="360" w:lineRule="auto"/>
              <w:jc w:val="both"/>
            </w:pPr>
          </w:p>
        </w:tc>
        <w:tc>
          <w:tcPr>
            <w:tcW w:w="781" w:type="pct"/>
            <w:vAlign w:val="center"/>
          </w:tcPr>
          <w:p w14:paraId="071B8C9F">
            <w:pPr>
              <w:spacing w:line="360" w:lineRule="auto"/>
              <w:jc w:val="both"/>
            </w:pPr>
          </w:p>
        </w:tc>
        <w:tc>
          <w:tcPr>
            <w:tcW w:w="670" w:type="pct"/>
            <w:vAlign w:val="center"/>
          </w:tcPr>
          <w:p w14:paraId="46EE7692">
            <w:pPr>
              <w:spacing w:line="360" w:lineRule="auto"/>
              <w:jc w:val="both"/>
            </w:pPr>
          </w:p>
        </w:tc>
        <w:tc>
          <w:tcPr>
            <w:tcW w:w="781" w:type="pct"/>
            <w:vAlign w:val="center"/>
          </w:tcPr>
          <w:p w14:paraId="45478B77">
            <w:pPr>
              <w:spacing w:line="360" w:lineRule="auto"/>
              <w:jc w:val="both"/>
            </w:pPr>
          </w:p>
        </w:tc>
        <w:tc>
          <w:tcPr>
            <w:tcW w:w="914" w:type="pct"/>
            <w:tcBorders>
              <w:right w:val="single" w:color="000000" w:sz="10" w:space="0"/>
            </w:tcBorders>
            <w:vAlign w:val="center"/>
          </w:tcPr>
          <w:p w14:paraId="64BE388F">
            <w:pPr>
              <w:spacing w:line="360" w:lineRule="auto"/>
              <w:jc w:val="both"/>
            </w:pPr>
          </w:p>
        </w:tc>
      </w:tr>
      <w:tr w14:paraId="529CF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62" w:type="pct"/>
            <w:tcBorders>
              <w:left w:val="single" w:color="000000" w:sz="10" w:space="0"/>
            </w:tcBorders>
            <w:vAlign w:val="center"/>
          </w:tcPr>
          <w:p w14:paraId="5F19EBB3">
            <w:pPr>
              <w:spacing w:line="360" w:lineRule="auto"/>
              <w:jc w:val="both"/>
            </w:pPr>
          </w:p>
        </w:tc>
        <w:tc>
          <w:tcPr>
            <w:tcW w:w="688" w:type="pct"/>
            <w:vAlign w:val="center"/>
          </w:tcPr>
          <w:p w14:paraId="00740E6B">
            <w:pPr>
              <w:spacing w:line="360" w:lineRule="auto"/>
              <w:jc w:val="both"/>
            </w:pPr>
          </w:p>
        </w:tc>
        <w:tc>
          <w:tcPr>
            <w:tcW w:w="781" w:type="pct"/>
            <w:vAlign w:val="center"/>
          </w:tcPr>
          <w:p w14:paraId="7F59D0EB">
            <w:pPr>
              <w:spacing w:line="360" w:lineRule="auto"/>
              <w:jc w:val="both"/>
            </w:pPr>
          </w:p>
        </w:tc>
        <w:tc>
          <w:tcPr>
            <w:tcW w:w="670" w:type="pct"/>
            <w:vAlign w:val="center"/>
          </w:tcPr>
          <w:p w14:paraId="33B0D477">
            <w:pPr>
              <w:spacing w:line="360" w:lineRule="auto"/>
              <w:jc w:val="both"/>
            </w:pPr>
          </w:p>
        </w:tc>
        <w:tc>
          <w:tcPr>
            <w:tcW w:w="781" w:type="pct"/>
            <w:vAlign w:val="center"/>
          </w:tcPr>
          <w:p w14:paraId="21D39972">
            <w:pPr>
              <w:spacing w:line="360" w:lineRule="auto"/>
              <w:jc w:val="both"/>
            </w:pPr>
          </w:p>
        </w:tc>
        <w:tc>
          <w:tcPr>
            <w:tcW w:w="914" w:type="pct"/>
            <w:tcBorders>
              <w:right w:val="single" w:color="000000" w:sz="10" w:space="0"/>
            </w:tcBorders>
            <w:vAlign w:val="center"/>
          </w:tcPr>
          <w:p w14:paraId="4DB27771">
            <w:pPr>
              <w:spacing w:line="360" w:lineRule="auto"/>
              <w:jc w:val="both"/>
            </w:pPr>
          </w:p>
        </w:tc>
      </w:tr>
      <w:tr w14:paraId="05160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2" w:type="pct"/>
            <w:tcBorders>
              <w:left w:val="single" w:color="000000" w:sz="10" w:space="0"/>
            </w:tcBorders>
            <w:vAlign w:val="center"/>
          </w:tcPr>
          <w:p w14:paraId="6B18A59A">
            <w:pPr>
              <w:spacing w:line="360" w:lineRule="auto"/>
              <w:jc w:val="both"/>
            </w:pPr>
          </w:p>
        </w:tc>
        <w:tc>
          <w:tcPr>
            <w:tcW w:w="688" w:type="pct"/>
            <w:vAlign w:val="center"/>
          </w:tcPr>
          <w:p w14:paraId="2B960633">
            <w:pPr>
              <w:spacing w:line="360" w:lineRule="auto"/>
              <w:jc w:val="both"/>
            </w:pPr>
          </w:p>
        </w:tc>
        <w:tc>
          <w:tcPr>
            <w:tcW w:w="781" w:type="pct"/>
            <w:vAlign w:val="center"/>
          </w:tcPr>
          <w:p w14:paraId="357892BE">
            <w:pPr>
              <w:spacing w:line="360" w:lineRule="auto"/>
              <w:jc w:val="both"/>
            </w:pPr>
          </w:p>
        </w:tc>
        <w:tc>
          <w:tcPr>
            <w:tcW w:w="670" w:type="pct"/>
            <w:vAlign w:val="center"/>
          </w:tcPr>
          <w:p w14:paraId="6DA2500C">
            <w:pPr>
              <w:spacing w:line="360" w:lineRule="auto"/>
              <w:jc w:val="both"/>
            </w:pPr>
          </w:p>
        </w:tc>
        <w:tc>
          <w:tcPr>
            <w:tcW w:w="781" w:type="pct"/>
            <w:vAlign w:val="center"/>
          </w:tcPr>
          <w:p w14:paraId="06E5D213">
            <w:pPr>
              <w:spacing w:line="360" w:lineRule="auto"/>
              <w:jc w:val="both"/>
            </w:pPr>
          </w:p>
        </w:tc>
        <w:tc>
          <w:tcPr>
            <w:tcW w:w="914" w:type="pct"/>
            <w:tcBorders>
              <w:right w:val="single" w:color="000000" w:sz="10" w:space="0"/>
            </w:tcBorders>
            <w:vAlign w:val="center"/>
          </w:tcPr>
          <w:p w14:paraId="39B8E42A">
            <w:pPr>
              <w:spacing w:line="360" w:lineRule="auto"/>
              <w:jc w:val="both"/>
            </w:pPr>
          </w:p>
        </w:tc>
      </w:tr>
      <w:tr w14:paraId="6B3F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162" w:type="pct"/>
            <w:tcBorders>
              <w:left w:val="single" w:color="000000" w:sz="10" w:space="0"/>
            </w:tcBorders>
            <w:vAlign w:val="center"/>
          </w:tcPr>
          <w:p w14:paraId="383597EB">
            <w:pPr>
              <w:spacing w:line="360" w:lineRule="auto"/>
              <w:jc w:val="both"/>
            </w:pPr>
          </w:p>
        </w:tc>
        <w:tc>
          <w:tcPr>
            <w:tcW w:w="688" w:type="pct"/>
            <w:vAlign w:val="center"/>
          </w:tcPr>
          <w:p w14:paraId="7B11D8CD">
            <w:pPr>
              <w:spacing w:line="360" w:lineRule="auto"/>
              <w:jc w:val="both"/>
            </w:pPr>
          </w:p>
        </w:tc>
        <w:tc>
          <w:tcPr>
            <w:tcW w:w="781" w:type="pct"/>
            <w:vAlign w:val="center"/>
          </w:tcPr>
          <w:p w14:paraId="76B726C8">
            <w:pPr>
              <w:spacing w:line="360" w:lineRule="auto"/>
              <w:jc w:val="both"/>
            </w:pPr>
          </w:p>
        </w:tc>
        <w:tc>
          <w:tcPr>
            <w:tcW w:w="670" w:type="pct"/>
            <w:vAlign w:val="center"/>
          </w:tcPr>
          <w:p w14:paraId="6B57BFAA">
            <w:pPr>
              <w:spacing w:line="360" w:lineRule="auto"/>
              <w:jc w:val="both"/>
            </w:pPr>
          </w:p>
        </w:tc>
        <w:tc>
          <w:tcPr>
            <w:tcW w:w="781" w:type="pct"/>
            <w:vAlign w:val="center"/>
          </w:tcPr>
          <w:p w14:paraId="2060C416">
            <w:pPr>
              <w:spacing w:line="360" w:lineRule="auto"/>
              <w:jc w:val="both"/>
            </w:pPr>
          </w:p>
        </w:tc>
        <w:tc>
          <w:tcPr>
            <w:tcW w:w="914" w:type="pct"/>
            <w:tcBorders>
              <w:right w:val="single" w:color="000000" w:sz="10" w:space="0"/>
            </w:tcBorders>
            <w:vAlign w:val="center"/>
          </w:tcPr>
          <w:p w14:paraId="3B4F460D">
            <w:pPr>
              <w:spacing w:line="360" w:lineRule="auto"/>
              <w:jc w:val="both"/>
            </w:pPr>
          </w:p>
        </w:tc>
      </w:tr>
      <w:tr w14:paraId="6407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162" w:type="pct"/>
            <w:tcBorders>
              <w:left w:val="single" w:color="000000" w:sz="10" w:space="0"/>
            </w:tcBorders>
            <w:vAlign w:val="center"/>
          </w:tcPr>
          <w:p w14:paraId="72C222F9">
            <w:pPr>
              <w:spacing w:line="360" w:lineRule="auto"/>
              <w:jc w:val="both"/>
            </w:pPr>
          </w:p>
        </w:tc>
        <w:tc>
          <w:tcPr>
            <w:tcW w:w="688" w:type="pct"/>
            <w:vAlign w:val="center"/>
          </w:tcPr>
          <w:p w14:paraId="1CC4AF4F">
            <w:pPr>
              <w:spacing w:line="360" w:lineRule="auto"/>
              <w:jc w:val="both"/>
            </w:pPr>
          </w:p>
        </w:tc>
        <w:tc>
          <w:tcPr>
            <w:tcW w:w="781" w:type="pct"/>
            <w:vAlign w:val="center"/>
          </w:tcPr>
          <w:p w14:paraId="40861F20">
            <w:pPr>
              <w:spacing w:line="360" w:lineRule="auto"/>
              <w:jc w:val="both"/>
            </w:pPr>
          </w:p>
        </w:tc>
        <w:tc>
          <w:tcPr>
            <w:tcW w:w="670" w:type="pct"/>
            <w:vAlign w:val="center"/>
          </w:tcPr>
          <w:p w14:paraId="7464D5A7">
            <w:pPr>
              <w:spacing w:line="360" w:lineRule="auto"/>
              <w:jc w:val="both"/>
            </w:pPr>
          </w:p>
        </w:tc>
        <w:tc>
          <w:tcPr>
            <w:tcW w:w="781" w:type="pct"/>
            <w:vAlign w:val="center"/>
          </w:tcPr>
          <w:p w14:paraId="5B656F5D">
            <w:pPr>
              <w:spacing w:line="360" w:lineRule="auto"/>
              <w:jc w:val="both"/>
            </w:pPr>
          </w:p>
        </w:tc>
        <w:tc>
          <w:tcPr>
            <w:tcW w:w="914" w:type="pct"/>
            <w:tcBorders>
              <w:right w:val="single" w:color="000000" w:sz="10" w:space="0"/>
            </w:tcBorders>
            <w:vAlign w:val="center"/>
          </w:tcPr>
          <w:p w14:paraId="5D6E1AD3">
            <w:pPr>
              <w:spacing w:line="360" w:lineRule="auto"/>
              <w:jc w:val="both"/>
            </w:pPr>
          </w:p>
        </w:tc>
      </w:tr>
      <w:tr w14:paraId="14EE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62" w:type="pct"/>
            <w:tcBorders>
              <w:left w:val="single" w:color="000000" w:sz="10" w:space="0"/>
            </w:tcBorders>
            <w:vAlign w:val="center"/>
          </w:tcPr>
          <w:p w14:paraId="21313920">
            <w:pPr>
              <w:spacing w:line="360" w:lineRule="auto"/>
              <w:jc w:val="both"/>
            </w:pPr>
          </w:p>
        </w:tc>
        <w:tc>
          <w:tcPr>
            <w:tcW w:w="688" w:type="pct"/>
            <w:vAlign w:val="center"/>
          </w:tcPr>
          <w:p w14:paraId="786945DB">
            <w:pPr>
              <w:spacing w:line="360" w:lineRule="auto"/>
              <w:jc w:val="both"/>
            </w:pPr>
          </w:p>
        </w:tc>
        <w:tc>
          <w:tcPr>
            <w:tcW w:w="781" w:type="pct"/>
            <w:vAlign w:val="center"/>
          </w:tcPr>
          <w:p w14:paraId="79A9DC77">
            <w:pPr>
              <w:spacing w:line="360" w:lineRule="auto"/>
              <w:jc w:val="both"/>
            </w:pPr>
          </w:p>
        </w:tc>
        <w:tc>
          <w:tcPr>
            <w:tcW w:w="670" w:type="pct"/>
            <w:vAlign w:val="center"/>
          </w:tcPr>
          <w:p w14:paraId="047BAF74">
            <w:pPr>
              <w:spacing w:line="360" w:lineRule="auto"/>
              <w:jc w:val="both"/>
            </w:pPr>
          </w:p>
        </w:tc>
        <w:tc>
          <w:tcPr>
            <w:tcW w:w="781" w:type="pct"/>
            <w:vAlign w:val="center"/>
          </w:tcPr>
          <w:p w14:paraId="1806B01D">
            <w:pPr>
              <w:spacing w:line="360" w:lineRule="auto"/>
              <w:jc w:val="both"/>
            </w:pPr>
          </w:p>
        </w:tc>
        <w:tc>
          <w:tcPr>
            <w:tcW w:w="914" w:type="pct"/>
            <w:tcBorders>
              <w:right w:val="single" w:color="000000" w:sz="10" w:space="0"/>
            </w:tcBorders>
            <w:vAlign w:val="center"/>
          </w:tcPr>
          <w:p w14:paraId="539EFA23">
            <w:pPr>
              <w:spacing w:line="360" w:lineRule="auto"/>
              <w:jc w:val="both"/>
            </w:pPr>
          </w:p>
        </w:tc>
      </w:tr>
      <w:tr w14:paraId="445B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162" w:type="pct"/>
            <w:tcBorders>
              <w:left w:val="single" w:color="000000" w:sz="10" w:space="0"/>
            </w:tcBorders>
            <w:vAlign w:val="center"/>
          </w:tcPr>
          <w:p w14:paraId="2E134AF7">
            <w:pPr>
              <w:spacing w:line="360" w:lineRule="auto"/>
              <w:jc w:val="both"/>
            </w:pPr>
          </w:p>
        </w:tc>
        <w:tc>
          <w:tcPr>
            <w:tcW w:w="688" w:type="pct"/>
            <w:vAlign w:val="center"/>
          </w:tcPr>
          <w:p w14:paraId="352FAA97">
            <w:pPr>
              <w:spacing w:line="360" w:lineRule="auto"/>
              <w:jc w:val="both"/>
            </w:pPr>
          </w:p>
        </w:tc>
        <w:tc>
          <w:tcPr>
            <w:tcW w:w="781" w:type="pct"/>
            <w:vAlign w:val="center"/>
          </w:tcPr>
          <w:p w14:paraId="00B039ED">
            <w:pPr>
              <w:spacing w:line="360" w:lineRule="auto"/>
              <w:jc w:val="both"/>
            </w:pPr>
          </w:p>
        </w:tc>
        <w:tc>
          <w:tcPr>
            <w:tcW w:w="670" w:type="pct"/>
            <w:vAlign w:val="center"/>
          </w:tcPr>
          <w:p w14:paraId="03AAEF20">
            <w:pPr>
              <w:spacing w:line="360" w:lineRule="auto"/>
              <w:jc w:val="both"/>
            </w:pPr>
          </w:p>
        </w:tc>
        <w:tc>
          <w:tcPr>
            <w:tcW w:w="781" w:type="pct"/>
            <w:vAlign w:val="center"/>
          </w:tcPr>
          <w:p w14:paraId="4FA450AD">
            <w:pPr>
              <w:spacing w:line="360" w:lineRule="auto"/>
              <w:jc w:val="both"/>
            </w:pPr>
          </w:p>
        </w:tc>
        <w:tc>
          <w:tcPr>
            <w:tcW w:w="914" w:type="pct"/>
            <w:tcBorders>
              <w:right w:val="single" w:color="000000" w:sz="10" w:space="0"/>
            </w:tcBorders>
            <w:vAlign w:val="center"/>
          </w:tcPr>
          <w:p w14:paraId="6DB7EF12">
            <w:pPr>
              <w:spacing w:line="360" w:lineRule="auto"/>
              <w:jc w:val="both"/>
            </w:pPr>
          </w:p>
        </w:tc>
      </w:tr>
      <w:tr w14:paraId="563F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162" w:type="pct"/>
            <w:tcBorders>
              <w:left w:val="single" w:color="000000" w:sz="10" w:space="0"/>
            </w:tcBorders>
            <w:vAlign w:val="center"/>
          </w:tcPr>
          <w:p w14:paraId="01A02FD1">
            <w:pPr>
              <w:spacing w:line="360" w:lineRule="auto"/>
              <w:jc w:val="both"/>
            </w:pPr>
          </w:p>
        </w:tc>
        <w:tc>
          <w:tcPr>
            <w:tcW w:w="688" w:type="pct"/>
            <w:vAlign w:val="center"/>
          </w:tcPr>
          <w:p w14:paraId="7957231D">
            <w:pPr>
              <w:spacing w:line="360" w:lineRule="auto"/>
              <w:jc w:val="both"/>
            </w:pPr>
          </w:p>
        </w:tc>
        <w:tc>
          <w:tcPr>
            <w:tcW w:w="781" w:type="pct"/>
            <w:vAlign w:val="center"/>
          </w:tcPr>
          <w:p w14:paraId="1EEB069A">
            <w:pPr>
              <w:spacing w:line="360" w:lineRule="auto"/>
              <w:jc w:val="both"/>
            </w:pPr>
          </w:p>
        </w:tc>
        <w:tc>
          <w:tcPr>
            <w:tcW w:w="670" w:type="pct"/>
            <w:vAlign w:val="center"/>
          </w:tcPr>
          <w:p w14:paraId="3968F2B9">
            <w:pPr>
              <w:spacing w:line="360" w:lineRule="auto"/>
              <w:jc w:val="both"/>
            </w:pPr>
          </w:p>
        </w:tc>
        <w:tc>
          <w:tcPr>
            <w:tcW w:w="781" w:type="pct"/>
            <w:vAlign w:val="center"/>
          </w:tcPr>
          <w:p w14:paraId="0A348691">
            <w:pPr>
              <w:spacing w:line="360" w:lineRule="auto"/>
              <w:jc w:val="both"/>
            </w:pPr>
          </w:p>
        </w:tc>
        <w:tc>
          <w:tcPr>
            <w:tcW w:w="914" w:type="pct"/>
            <w:tcBorders>
              <w:right w:val="single" w:color="000000" w:sz="10" w:space="0"/>
            </w:tcBorders>
            <w:vAlign w:val="center"/>
          </w:tcPr>
          <w:p w14:paraId="1C1B169C">
            <w:pPr>
              <w:spacing w:line="360" w:lineRule="auto"/>
              <w:jc w:val="both"/>
            </w:pPr>
          </w:p>
        </w:tc>
      </w:tr>
      <w:tr w14:paraId="728C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162" w:type="pct"/>
            <w:tcBorders>
              <w:left w:val="single" w:color="000000" w:sz="10" w:space="0"/>
            </w:tcBorders>
            <w:vAlign w:val="center"/>
          </w:tcPr>
          <w:p w14:paraId="4EA4D696">
            <w:pPr>
              <w:spacing w:line="360" w:lineRule="auto"/>
              <w:jc w:val="both"/>
            </w:pPr>
          </w:p>
        </w:tc>
        <w:tc>
          <w:tcPr>
            <w:tcW w:w="688" w:type="pct"/>
            <w:vAlign w:val="center"/>
          </w:tcPr>
          <w:p w14:paraId="24C9115C">
            <w:pPr>
              <w:spacing w:line="360" w:lineRule="auto"/>
              <w:jc w:val="both"/>
            </w:pPr>
          </w:p>
        </w:tc>
        <w:tc>
          <w:tcPr>
            <w:tcW w:w="781" w:type="pct"/>
            <w:vAlign w:val="center"/>
          </w:tcPr>
          <w:p w14:paraId="50ABBA3B">
            <w:pPr>
              <w:spacing w:line="360" w:lineRule="auto"/>
              <w:jc w:val="both"/>
            </w:pPr>
          </w:p>
        </w:tc>
        <w:tc>
          <w:tcPr>
            <w:tcW w:w="670" w:type="pct"/>
            <w:vAlign w:val="center"/>
          </w:tcPr>
          <w:p w14:paraId="67145208">
            <w:pPr>
              <w:spacing w:line="360" w:lineRule="auto"/>
              <w:jc w:val="both"/>
            </w:pPr>
          </w:p>
        </w:tc>
        <w:tc>
          <w:tcPr>
            <w:tcW w:w="781" w:type="pct"/>
            <w:vAlign w:val="center"/>
          </w:tcPr>
          <w:p w14:paraId="119BECA1">
            <w:pPr>
              <w:spacing w:line="360" w:lineRule="auto"/>
              <w:jc w:val="both"/>
            </w:pPr>
          </w:p>
        </w:tc>
        <w:tc>
          <w:tcPr>
            <w:tcW w:w="914" w:type="pct"/>
            <w:tcBorders>
              <w:right w:val="single" w:color="000000" w:sz="10" w:space="0"/>
            </w:tcBorders>
            <w:vAlign w:val="center"/>
          </w:tcPr>
          <w:p w14:paraId="25D1894C">
            <w:pPr>
              <w:spacing w:line="360" w:lineRule="auto"/>
              <w:jc w:val="both"/>
            </w:pPr>
          </w:p>
        </w:tc>
      </w:tr>
      <w:tr w14:paraId="05E1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2" w:type="pct"/>
            <w:tcBorders>
              <w:left w:val="single" w:color="000000" w:sz="10" w:space="0"/>
            </w:tcBorders>
            <w:vAlign w:val="center"/>
          </w:tcPr>
          <w:p w14:paraId="2476208A">
            <w:pPr>
              <w:spacing w:line="360" w:lineRule="auto"/>
              <w:jc w:val="both"/>
            </w:pPr>
          </w:p>
        </w:tc>
        <w:tc>
          <w:tcPr>
            <w:tcW w:w="688" w:type="pct"/>
            <w:vAlign w:val="center"/>
          </w:tcPr>
          <w:p w14:paraId="62CB2160">
            <w:pPr>
              <w:spacing w:line="360" w:lineRule="auto"/>
              <w:jc w:val="both"/>
            </w:pPr>
          </w:p>
        </w:tc>
        <w:tc>
          <w:tcPr>
            <w:tcW w:w="781" w:type="pct"/>
            <w:vAlign w:val="center"/>
          </w:tcPr>
          <w:p w14:paraId="25CC5883">
            <w:pPr>
              <w:spacing w:line="360" w:lineRule="auto"/>
              <w:jc w:val="both"/>
            </w:pPr>
          </w:p>
        </w:tc>
        <w:tc>
          <w:tcPr>
            <w:tcW w:w="670" w:type="pct"/>
            <w:vAlign w:val="center"/>
          </w:tcPr>
          <w:p w14:paraId="2B6C5E00">
            <w:pPr>
              <w:spacing w:line="360" w:lineRule="auto"/>
              <w:jc w:val="both"/>
            </w:pPr>
          </w:p>
        </w:tc>
        <w:tc>
          <w:tcPr>
            <w:tcW w:w="781" w:type="pct"/>
            <w:vAlign w:val="center"/>
          </w:tcPr>
          <w:p w14:paraId="775EF99E">
            <w:pPr>
              <w:spacing w:line="360" w:lineRule="auto"/>
              <w:jc w:val="both"/>
            </w:pPr>
          </w:p>
        </w:tc>
        <w:tc>
          <w:tcPr>
            <w:tcW w:w="914" w:type="pct"/>
            <w:tcBorders>
              <w:right w:val="single" w:color="000000" w:sz="10" w:space="0"/>
            </w:tcBorders>
            <w:vAlign w:val="center"/>
          </w:tcPr>
          <w:p w14:paraId="119B1784">
            <w:pPr>
              <w:spacing w:line="360" w:lineRule="auto"/>
              <w:jc w:val="both"/>
            </w:pPr>
          </w:p>
        </w:tc>
      </w:tr>
      <w:tr w14:paraId="48B24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162" w:type="pct"/>
            <w:tcBorders>
              <w:left w:val="single" w:color="000000" w:sz="10" w:space="0"/>
            </w:tcBorders>
            <w:vAlign w:val="center"/>
          </w:tcPr>
          <w:p w14:paraId="436211D7">
            <w:pPr>
              <w:spacing w:line="360" w:lineRule="auto"/>
              <w:jc w:val="both"/>
            </w:pPr>
          </w:p>
        </w:tc>
        <w:tc>
          <w:tcPr>
            <w:tcW w:w="688" w:type="pct"/>
            <w:vAlign w:val="center"/>
          </w:tcPr>
          <w:p w14:paraId="2453447E">
            <w:pPr>
              <w:spacing w:line="360" w:lineRule="auto"/>
              <w:jc w:val="both"/>
            </w:pPr>
          </w:p>
        </w:tc>
        <w:tc>
          <w:tcPr>
            <w:tcW w:w="781" w:type="pct"/>
            <w:vAlign w:val="center"/>
          </w:tcPr>
          <w:p w14:paraId="29775204">
            <w:pPr>
              <w:spacing w:line="360" w:lineRule="auto"/>
              <w:jc w:val="both"/>
            </w:pPr>
          </w:p>
        </w:tc>
        <w:tc>
          <w:tcPr>
            <w:tcW w:w="670" w:type="pct"/>
            <w:vAlign w:val="center"/>
          </w:tcPr>
          <w:p w14:paraId="61923ECA">
            <w:pPr>
              <w:spacing w:line="360" w:lineRule="auto"/>
              <w:jc w:val="both"/>
            </w:pPr>
          </w:p>
        </w:tc>
        <w:tc>
          <w:tcPr>
            <w:tcW w:w="781" w:type="pct"/>
            <w:vAlign w:val="center"/>
          </w:tcPr>
          <w:p w14:paraId="427FB555">
            <w:pPr>
              <w:spacing w:line="360" w:lineRule="auto"/>
              <w:jc w:val="both"/>
            </w:pPr>
          </w:p>
        </w:tc>
        <w:tc>
          <w:tcPr>
            <w:tcW w:w="914" w:type="pct"/>
            <w:tcBorders>
              <w:right w:val="single" w:color="000000" w:sz="10" w:space="0"/>
            </w:tcBorders>
            <w:vAlign w:val="center"/>
          </w:tcPr>
          <w:p w14:paraId="385C5193">
            <w:pPr>
              <w:spacing w:line="360" w:lineRule="auto"/>
              <w:jc w:val="both"/>
            </w:pPr>
          </w:p>
        </w:tc>
      </w:tr>
      <w:tr w14:paraId="53E5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2" w:type="pct"/>
            <w:tcBorders>
              <w:left w:val="single" w:color="000000" w:sz="10" w:space="0"/>
            </w:tcBorders>
            <w:vAlign w:val="center"/>
          </w:tcPr>
          <w:p w14:paraId="7AD2594E">
            <w:pPr>
              <w:spacing w:line="360" w:lineRule="auto"/>
              <w:jc w:val="both"/>
            </w:pPr>
          </w:p>
        </w:tc>
        <w:tc>
          <w:tcPr>
            <w:tcW w:w="688" w:type="pct"/>
            <w:vAlign w:val="center"/>
          </w:tcPr>
          <w:p w14:paraId="72B90190">
            <w:pPr>
              <w:spacing w:line="360" w:lineRule="auto"/>
              <w:jc w:val="both"/>
            </w:pPr>
          </w:p>
        </w:tc>
        <w:tc>
          <w:tcPr>
            <w:tcW w:w="781" w:type="pct"/>
            <w:vAlign w:val="center"/>
          </w:tcPr>
          <w:p w14:paraId="3E7DF7CF">
            <w:pPr>
              <w:spacing w:line="360" w:lineRule="auto"/>
              <w:jc w:val="both"/>
            </w:pPr>
          </w:p>
        </w:tc>
        <w:tc>
          <w:tcPr>
            <w:tcW w:w="670" w:type="pct"/>
            <w:vAlign w:val="center"/>
          </w:tcPr>
          <w:p w14:paraId="01989BD7">
            <w:pPr>
              <w:spacing w:line="360" w:lineRule="auto"/>
              <w:jc w:val="both"/>
            </w:pPr>
          </w:p>
        </w:tc>
        <w:tc>
          <w:tcPr>
            <w:tcW w:w="781" w:type="pct"/>
            <w:vAlign w:val="center"/>
          </w:tcPr>
          <w:p w14:paraId="569F4033">
            <w:pPr>
              <w:spacing w:line="360" w:lineRule="auto"/>
              <w:jc w:val="both"/>
            </w:pPr>
          </w:p>
        </w:tc>
        <w:tc>
          <w:tcPr>
            <w:tcW w:w="914" w:type="pct"/>
            <w:tcBorders>
              <w:right w:val="single" w:color="000000" w:sz="10" w:space="0"/>
            </w:tcBorders>
            <w:vAlign w:val="center"/>
          </w:tcPr>
          <w:p w14:paraId="366ECE1A">
            <w:pPr>
              <w:spacing w:line="360" w:lineRule="auto"/>
              <w:jc w:val="both"/>
            </w:pPr>
          </w:p>
        </w:tc>
      </w:tr>
      <w:tr w14:paraId="0390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162" w:type="pct"/>
            <w:tcBorders>
              <w:left w:val="single" w:color="000000" w:sz="10" w:space="0"/>
            </w:tcBorders>
            <w:vAlign w:val="center"/>
          </w:tcPr>
          <w:p w14:paraId="2AF013EF">
            <w:pPr>
              <w:spacing w:line="360" w:lineRule="auto"/>
              <w:jc w:val="both"/>
            </w:pPr>
          </w:p>
        </w:tc>
        <w:tc>
          <w:tcPr>
            <w:tcW w:w="688" w:type="pct"/>
            <w:vAlign w:val="center"/>
          </w:tcPr>
          <w:p w14:paraId="5739774A">
            <w:pPr>
              <w:spacing w:line="360" w:lineRule="auto"/>
              <w:jc w:val="both"/>
            </w:pPr>
          </w:p>
        </w:tc>
        <w:tc>
          <w:tcPr>
            <w:tcW w:w="781" w:type="pct"/>
            <w:vAlign w:val="center"/>
          </w:tcPr>
          <w:p w14:paraId="52A225F4">
            <w:pPr>
              <w:spacing w:line="360" w:lineRule="auto"/>
              <w:jc w:val="both"/>
            </w:pPr>
          </w:p>
        </w:tc>
        <w:tc>
          <w:tcPr>
            <w:tcW w:w="670" w:type="pct"/>
            <w:vAlign w:val="center"/>
          </w:tcPr>
          <w:p w14:paraId="3196D3D7">
            <w:pPr>
              <w:spacing w:line="360" w:lineRule="auto"/>
              <w:jc w:val="both"/>
            </w:pPr>
          </w:p>
        </w:tc>
        <w:tc>
          <w:tcPr>
            <w:tcW w:w="781" w:type="pct"/>
            <w:vAlign w:val="center"/>
          </w:tcPr>
          <w:p w14:paraId="02499C8D">
            <w:pPr>
              <w:spacing w:line="360" w:lineRule="auto"/>
              <w:jc w:val="both"/>
            </w:pPr>
          </w:p>
        </w:tc>
        <w:tc>
          <w:tcPr>
            <w:tcW w:w="914" w:type="pct"/>
            <w:tcBorders>
              <w:right w:val="single" w:color="000000" w:sz="10" w:space="0"/>
            </w:tcBorders>
            <w:vAlign w:val="center"/>
          </w:tcPr>
          <w:p w14:paraId="5D077E99">
            <w:pPr>
              <w:spacing w:line="360" w:lineRule="auto"/>
              <w:jc w:val="both"/>
            </w:pPr>
          </w:p>
        </w:tc>
      </w:tr>
      <w:tr w14:paraId="1F4E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62" w:type="pct"/>
            <w:tcBorders>
              <w:left w:val="single" w:color="000000" w:sz="10" w:space="0"/>
            </w:tcBorders>
            <w:vAlign w:val="center"/>
          </w:tcPr>
          <w:p w14:paraId="5F96427B">
            <w:pPr>
              <w:spacing w:line="360" w:lineRule="auto"/>
              <w:jc w:val="both"/>
            </w:pPr>
          </w:p>
        </w:tc>
        <w:tc>
          <w:tcPr>
            <w:tcW w:w="688" w:type="pct"/>
            <w:vAlign w:val="center"/>
          </w:tcPr>
          <w:p w14:paraId="228149B8">
            <w:pPr>
              <w:spacing w:line="360" w:lineRule="auto"/>
              <w:jc w:val="both"/>
            </w:pPr>
          </w:p>
        </w:tc>
        <w:tc>
          <w:tcPr>
            <w:tcW w:w="781" w:type="pct"/>
            <w:vAlign w:val="center"/>
          </w:tcPr>
          <w:p w14:paraId="54F5D3EF">
            <w:pPr>
              <w:spacing w:line="360" w:lineRule="auto"/>
              <w:jc w:val="both"/>
            </w:pPr>
          </w:p>
        </w:tc>
        <w:tc>
          <w:tcPr>
            <w:tcW w:w="670" w:type="pct"/>
            <w:vAlign w:val="center"/>
          </w:tcPr>
          <w:p w14:paraId="75D06B96">
            <w:pPr>
              <w:spacing w:line="360" w:lineRule="auto"/>
              <w:jc w:val="both"/>
            </w:pPr>
          </w:p>
        </w:tc>
        <w:tc>
          <w:tcPr>
            <w:tcW w:w="781" w:type="pct"/>
            <w:vAlign w:val="center"/>
          </w:tcPr>
          <w:p w14:paraId="57BC4BAF">
            <w:pPr>
              <w:spacing w:line="360" w:lineRule="auto"/>
              <w:jc w:val="both"/>
            </w:pPr>
          </w:p>
        </w:tc>
        <w:tc>
          <w:tcPr>
            <w:tcW w:w="914" w:type="pct"/>
            <w:tcBorders>
              <w:right w:val="single" w:color="000000" w:sz="10" w:space="0"/>
            </w:tcBorders>
            <w:vAlign w:val="center"/>
          </w:tcPr>
          <w:p w14:paraId="6DB04B84">
            <w:pPr>
              <w:spacing w:line="360" w:lineRule="auto"/>
              <w:jc w:val="both"/>
            </w:pPr>
          </w:p>
        </w:tc>
      </w:tr>
      <w:tr w14:paraId="6465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162" w:type="pct"/>
            <w:tcBorders>
              <w:left w:val="single" w:color="000000" w:sz="10" w:space="0"/>
            </w:tcBorders>
            <w:vAlign w:val="center"/>
          </w:tcPr>
          <w:p w14:paraId="0FE57650">
            <w:pPr>
              <w:spacing w:line="360" w:lineRule="auto"/>
              <w:jc w:val="both"/>
            </w:pPr>
          </w:p>
        </w:tc>
        <w:tc>
          <w:tcPr>
            <w:tcW w:w="688" w:type="pct"/>
            <w:vAlign w:val="center"/>
          </w:tcPr>
          <w:p w14:paraId="70F894C1">
            <w:pPr>
              <w:spacing w:line="360" w:lineRule="auto"/>
              <w:jc w:val="both"/>
            </w:pPr>
          </w:p>
        </w:tc>
        <w:tc>
          <w:tcPr>
            <w:tcW w:w="781" w:type="pct"/>
            <w:vAlign w:val="center"/>
          </w:tcPr>
          <w:p w14:paraId="0B6FAB13">
            <w:pPr>
              <w:spacing w:line="360" w:lineRule="auto"/>
              <w:jc w:val="both"/>
            </w:pPr>
          </w:p>
        </w:tc>
        <w:tc>
          <w:tcPr>
            <w:tcW w:w="670" w:type="pct"/>
            <w:vAlign w:val="center"/>
          </w:tcPr>
          <w:p w14:paraId="5602AE39">
            <w:pPr>
              <w:spacing w:line="360" w:lineRule="auto"/>
              <w:jc w:val="both"/>
            </w:pPr>
          </w:p>
        </w:tc>
        <w:tc>
          <w:tcPr>
            <w:tcW w:w="781" w:type="pct"/>
            <w:vAlign w:val="center"/>
          </w:tcPr>
          <w:p w14:paraId="3FE2B4FF">
            <w:pPr>
              <w:spacing w:line="360" w:lineRule="auto"/>
              <w:jc w:val="both"/>
            </w:pPr>
          </w:p>
        </w:tc>
        <w:tc>
          <w:tcPr>
            <w:tcW w:w="914" w:type="pct"/>
            <w:tcBorders>
              <w:right w:val="single" w:color="000000" w:sz="10" w:space="0"/>
            </w:tcBorders>
            <w:vAlign w:val="center"/>
          </w:tcPr>
          <w:p w14:paraId="774670E0">
            <w:pPr>
              <w:spacing w:line="360" w:lineRule="auto"/>
              <w:jc w:val="both"/>
            </w:pPr>
          </w:p>
        </w:tc>
      </w:tr>
      <w:tr w14:paraId="0CC9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1162" w:type="pct"/>
            <w:tcBorders>
              <w:left w:val="single" w:color="000000" w:sz="10" w:space="0"/>
              <w:bottom w:val="single" w:color="000000" w:sz="10" w:space="0"/>
            </w:tcBorders>
            <w:vAlign w:val="center"/>
          </w:tcPr>
          <w:p w14:paraId="1BF63810">
            <w:pPr>
              <w:spacing w:line="360" w:lineRule="auto"/>
              <w:jc w:val="both"/>
            </w:pPr>
          </w:p>
        </w:tc>
        <w:tc>
          <w:tcPr>
            <w:tcW w:w="688" w:type="pct"/>
            <w:tcBorders>
              <w:bottom w:val="single" w:color="000000" w:sz="10" w:space="0"/>
            </w:tcBorders>
            <w:vAlign w:val="center"/>
          </w:tcPr>
          <w:p w14:paraId="4FD187FE">
            <w:pPr>
              <w:spacing w:line="360" w:lineRule="auto"/>
              <w:jc w:val="both"/>
            </w:pPr>
          </w:p>
        </w:tc>
        <w:tc>
          <w:tcPr>
            <w:tcW w:w="781" w:type="pct"/>
            <w:tcBorders>
              <w:bottom w:val="single" w:color="000000" w:sz="10" w:space="0"/>
            </w:tcBorders>
            <w:vAlign w:val="center"/>
          </w:tcPr>
          <w:p w14:paraId="345AEE5F">
            <w:pPr>
              <w:spacing w:line="360" w:lineRule="auto"/>
              <w:jc w:val="both"/>
            </w:pPr>
          </w:p>
        </w:tc>
        <w:tc>
          <w:tcPr>
            <w:tcW w:w="670" w:type="pct"/>
            <w:tcBorders>
              <w:bottom w:val="single" w:color="000000" w:sz="10" w:space="0"/>
            </w:tcBorders>
            <w:vAlign w:val="center"/>
          </w:tcPr>
          <w:p w14:paraId="1F7776D9">
            <w:pPr>
              <w:spacing w:line="360" w:lineRule="auto"/>
              <w:jc w:val="both"/>
            </w:pPr>
          </w:p>
        </w:tc>
        <w:tc>
          <w:tcPr>
            <w:tcW w:w="781" w:type="pct"/>
            <w:tcBorders>
              <w:bottom w:val="single" w:color="000000" w:sz="10" w:space="0"/>
            </w:tcBorders>
            <w:vAlign w:val="center"/>
          </w:tcPr>
          <w:p w14:paraId="45172F7C">
            <w:pPr>
              <w:spacing w:line="360" w:lineRule="auto"/>
              <w:jc w:val="both"/>
            </w:pPr>
          </w:p>
        </w:tc>
        <w:tc>
          <w:tcPr>
            <w:tcW w:w="914" w:type="pct"/>
            <w:tcBorders>
              <w:bottom w:val="single" w:color="000000" w:sz="10" w:space="0"/>
              <w:right w:val="single" w:color="000000" w:sz="10" w:space="0"/>
            </w:tcBorders>
            <w:vAlign w:val="center"/>
          </w:tcPr>
          <w:p w14:paraId="25857AEB">
            <w:pPr>
              <w:spacing w:line="360" w:lineRule="auto"/>
              <w:jc w:val="both"/>
            </w:pPr>
          </w:p>
        </w:tc>
      </w:tr>
    </w:tbl>
    <w:p w14:paraId="2454A746">
      <w:pPr>
        <w:pStyle w:val="3"/>
      </w:pPr>
    </w:p>
    <w:p w14:paraId="5EA1FA2D">
      <w:pPr>
        <w:sectPr>
          <w:footerReference r:id="rId13" w:type="default"/>
          <w:pgSz w:w="11907" w:h="16839"/>
          <w:pgMar w:top="1172" w:right="1366" w:bottom="1350" w:left="1417" w:header="0" w:footer="1145" w:gutter="0"/>
          <w:cols w:space="720" w:num="1"/>
        </w:sectPr>
      </w:pPr>
    </w:p>
    <w:p w14:paraId="070770B6">
      <w:pPr>
        <w:spacing w:before="60" w:line="218" w:lineRule="auto"/>
        <w:ind w:left="395"/>
        <w:outlineLvl w:val="3"/>
        <w:rPr>
          <w:rFonts w:hint="eastAsia" w:ascii="黑体" w:hAnsi="黑体" w:eastAsia="黑体" w:cs="黑体"/>
          <w:sz w:val="30"/>
          <w:szCs w:val="30"/>
          <w:lang w:eastAsia="zh-CN"/>
        </w:rPr>
      </w:pPr>
      <w:r>
        <w:rPr>
          <w:rFonts w:ascii="黑体" w:hAnsi="黑体" w:eastAsia="黑体" w:cs="黑体"/>
          <w:b/>
          <w:bCs/>
          <w:spacing w:val="-4"/>
          <w:sz w:val="30"/>
          <w:szCs w:val="30"/>
          <w:lang w:eastAsia="zh-CN"/>
        </w:rPr>
        <w:t>附件5承包人主要管理人员表</w:t>
      </w:r>
    </w:p>
    <w:p w14:paraId="437B99DC">
      <w:pPr>
        <w:spacing w:before="27"/>
        <w:rPr>
          <w:lang w:eastAsia="zh-CN"/>
        </w:rPr>
      </w:pP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0"/>
        <w:gridCol w:w="1411"/>
        <w:gridCol w:w="1125"/>
        <w:gridCol w:w="1131"/>
        <w:gridCol w:w="3916"/>
      </w:tblGrid>
      <w:tr w14:paraId="04F6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35" w:type="pct"/>
            <w:vAlign w:val="center"/>
          </w:tcPr>
          <w:p w14:paraId="77CA590C">
            <w:pPr>
              <w:jc w:val="center"/>
            </w:pPr>
            <w:r>
              <w:t>名称</w:t>
            </w:r>
          </w:p>
        </w:tc>
        <w:tc>
          <w:tcPr>
            <w:tcW w:w="775" w:type="pct"/>
            <w:vAlign w:val="center"/>
          </w:tcPr>
          <w:p w14:paraId="28C7102E">
            <w:pPr>
              <w:jc w:val="center"/>
            </w:pPr>
            <w:r>
              <w:t>姓名</w:t>
            </w:r>
          </w:p>
        </w:tc>
        <w:tc>
          <w:tcPr>
            <w:tcW w:w="618" w:type="pct"/>
            <w:vAlign w:val="center"/>
          </w:tcPr>
          <w:p w14:paraId="77C4810F">
            <w:pPr>
              <w:jc w:val="center"/>
            </w:pPr>
            <w:r>
              <w:t>职务</w:t>
            </w:r>
          </w:p>
        </w:tc>
        <w:tc>
          <w:tcPr>
            <w:tcW w:w="621" w:type="pct"/>
            <w:vAlign w:val="center"/>
          </w:tcPr>
          <w:p w14:paraId="4898202C">
            <w:pPr>
              <w:jc w:val="center"/>
            </w:pPr>
            <w:r>
              <w:t>职称</w:t>
            </w:r>
          </w:p>
        </w:tc>
        <w:tc>
          <w:tcPr>
            <w:tcW w:w="2147" w:type="pct"/>
            <w:vAlign w:val="center"/>
          </w:tcPr>
          <w:p w14:paraId="0F171E6A">
            <w:pPr>
              <w:jc w:val="center"/>
              <w:rPr>
                <w:lang w:eastAsia="zh-CN"/>
              </w:rPr>
            </w:pPr>
            <w:r>
              <w:rPr>
                <w:lang w:eastAsia="zh-CN"/>
              </w:rPr>
              <w:t>主要资历、经验及承担过的项目</w:t>
            </w:r>
          </w:p>
        </w:tc>
      </w:tr>
      <w:tr w14:paraId="668B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000" w:type="pct"/>
            <w:gridSpan w:val="5"/>
            <w:vAlign w:val="center"/>
          </w:tcPr>
          <w:p w14:paraId="00BCD02D">
            <w:pPr>
              <w:jc w:val="center"/>
            </w:pPr>
            <w:r>
              <w:t>一、总部人员</w:t>
            </w:r>
          </w:p>
        </w:tc>
      </w:tr>
      <w:tr w14:paraId="4C39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5" w:type="pct"/>
            <w:vAlign w:val="center"/>
          </w:tcPr>
          <w:p w14:paraId="7FC316F3">
            <w:pPr>
              <w:jc w:val="center"/>
            </w:pPr>
            <w:r>
              <w:t>项目主管</w:t>
            </w:r>
          </w:p>
        </w:tc>
        <w:tc>
          <w:tcPr>
            <w:tcW w:w="775" w:type="pct"/>
            <w:vAlign w:val="center"/>
          </w:tcPr>
          <w:p w14:paraId="7A545D16">
            <w:pPr>
              <w:jc w:val="center"/>
            </w:pPr>
          </w:p>
        </w:tc>
        <w:tc>
          <w:tcPr>
            <w:tcW w:w="618" w:type="pct"/>
            <w:vAlign w:val="center"/>
          </w:tcPr>
          <w:p w14:paraId="11841C17">
            <w:pPr>
              <w:jc w:val="center"/>
            </w:pPr>
          </w:p>
        </w:tc>
        <w:tc>
          <w:tcPr>
            <w:tcW w:w="621" w:type="pct"/>
            <w:vAlign w:val="center"/>
          </w:tcPr>
          <w:p w14:paraId="14366504">
            <w:pPr>
              <w:jc w:val="center"/>
            </w:pPr>
          </w:p>
        </w:tc>
        <w:tc>
          <w:tcPr>
            <w:tcW w:w="2147" w:type="pct"/>
            <w:vAlign w:val="center"/>
          </w:tcPr>
          <w:p w14:paraId="05CE08F2">
            <w:pPr>
              <w:jc w:val="center"/>
            </w:pPr>
          </w:p>
        </w:tc>
      </w:tr>
      <w:tr w14:paraId="1432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5" w:type="pct"/>
            <w:vMerge w:val="restart"/>
            <w:tcBorders>
              <w:bottom w:val="nil"/>
            </w:tcBorders>
            <w:vAlign w:val="center"/>
          </w:tcPr>
          <w:p w14:paraId="660A70AB">
            <w:pPr>
              <w:jc w:val="center"/>
            </w:pPr>
            <w:r>
              <w:t>其他人员</w:t>
            </w:r>
          </w:p>
        </w:tc>
        <w:tc>
          <w:tcPr>
            <w:tcW w:w="775" w:type="pct"/>
            <w:vAlign w:val="center"/>
          </w:tcPr>
          <w:p w14:paraId="39912F0E">
            <w:pPr>
              <w:jc w:val="center"/>
            </w:pPr>
          </w:p>
        </w:tc>
        <w:tc>
          <w:tcPr>
            <w:tcW w:w="618" w:type="pct"/>
            <w:vAlign w:val="center"/>
          </w:tcPr>
          <w:p w14:paraId="11C70B3F">
            <w:pPr>
              <w:jc w:val="center"/>
            </w:pPr>
          </w:p>
        </w:tc>
        <w:tc>
          <w:tcPr>
            <w:tcW w:w="621" w:type="pct"/>
            <w:vAlign w:val="center"/>
          </w:tcPr>
          <w:p w14:paraId="1C073D97">
            <w:pPr>
              <w:jc w:val="center"/>
            </w:pPr>
          </w:p>
        </w:tc>
        <w:tc>
          <w:tcPr>
            <w:tcW w:w="2147" w:type="pct"/>
            <w:vAlign w:val="center"/>
          </w:tcPr>
          <w:p w14:paraId="5CD28B31">
            <w:pPr>
              <w:jc w:val="center"/>
            </w:pPr>
          </w:p>
        </w:tc>
      </w:tr>
      <w:tr w14:paraId="7501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5" w:type="pct"/>
            <w:vMerge w:val="continue"/>
            <w:tcBorders>
              <w:top w:val="nil"/>
              <w:bottom w:val="nil"/>
            </w:tcBorders>
            <w:vAlign w:val="center"/>
          </w:tcPr>
          <w:p w14:paraId="79EE3B62">
            <w:pPr>
              <w:jc w:val="center"/>
            </w:pPr>
          </w:p>
        </w:tc>
        <w:tc>
          <w:tcPr>
            <w:tcW w:w="775" w:type="pct"/>
            <w:vAlign w:val="center"/>
          </w:tcPr>
          <w:p w14:paraId="43690BC6">
            <w:pPr>
              <w:jc w:val="center"/>
            </w:pPr>
          </w:p>
        </w:tc>
        <w:tc>
          <w:tcPr>
            <w:tcW w:w="618" w:type="pct"/>
            <w:vAlign w:val="center"/>
          </w:tcPr>
          <w:p w14:paraId="2FF5776F">
            <w:pPr>
              <w:jc w:val="center"/>
            </w:pPr>
          </w:p>
        </w:tc>
        <w:tc>
          <w:tcPr>
            <w:tcW w:w="621" w:type="pct"/>
            <w:vAlign w:val="center"/>
          </w:tcPr>
          <w:p w14:paraId="76F3A241">
            <w:pPr>
              <w:jc w:val="center"/>
            </w:pPr>
          </w:p>
        </w:tc>
        <w:tc>
          <w:tcPr>
            <w:tcW w:w="2147" w:type="pct"/>
            <w:vAlign w:val="center"/>
          </w:tcPr>
          <w:p w14:paraId="7BA49C02">
            <w:pPr>
              <w:jc w:val="center"/>
            </w:pPr>
          </w:p>
        </w:tc>
      </w:tr>
      <w:tr w14:paraId="3CE0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Merge w:val="continue"/>
            <w:tcBorders>
              <w:top w:val="nil"/>
            </w:tcBorders>
            <w:vAlign w:val="center"/>
          </w:tcPr>
          <w:p w14:paraId="677E16CB">
            <w:pPr>
              <w:jc w:val="center"/>
            </w:pPr>
          </w:p>
        </w:tc>
        <w:tc>
          <w:tcPr>
            <w:tcW w:w="775" w:type="pct"/>
            <w:vAlign w:val="center"/>
          </w:tcPr>
          <w:p w14:paraId="6B3D4FDF">
            <w:pPr>
              <w:jc w:val="center"/>
            </w:pPr>
          </w:p>
        </w:tc>
        <w:tc>
          <w:tcPr>
            <w:tcW w:w="618" w:type="pct"/>
            <w:vAlign w:val="center"/>
          </w:tcPr>
          <w:p w14:paraId="2A2E0DF5">
            <w:pPr>
              <w:jc w:val="center"/>
            </w:pPr>
          </w:p>
        </w:tc>
        <w:tc>
          <w:tcPr>
            <w:tcW w:w="621" w:type="pct"/>
            <w:vAlign w:val="center"/>
          </w:tcPr>
          <w:p w14:paraId="43DA31DE">
            <w:pPr>
              <w:jc w:val="center"/>
            </w:pPr>
          </w:p>
        </w:tc>
        <w:tc>
          <w:tcPr>
            <w:tcW w:w="2147" w:type="pct"/>
            <w:vAlign w:val="center"/>
          </w:tcPr>
          <w:p w14:paraId="24B7DE87">
            <w:pPr>
              <w:jc w:val="center"/>
            </w:pPr>
          </w:p>
        </w:tc>
      </w:tr>
      <w:tr w14:paraId="7733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000" w:type="pct"/>
            <w:gridSpan w:val="5"/>
            <w:vAlign w:val="center"/>
          </w:tcPr>
          <w:p w14:paraId="10C52BF0">
            <w:pPr>
              <w:jc w:val="center"/>
            </w:pPr>
            <w:r>
              <w:t>二、现场人员</w:t>
            </w:r>
          </w:p>
        </w:tc>
      </w:tr>
      <w:tr w14:paraId="3298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35" w:type="pct"/>
            <w:vAlign w:val="center"/>
          </w:tcPr>
          <w:p w14:paraId="05A94FEB">
            <w:pPr>
              <w:jc w:val="center"/>
            </w:pPr>
            <w:r>
              <w:t>工程总承包项目经理</w:t>
            </w:r>
          </w:p>
        </w:tc>
        <w:tc>
          <w:tcPr>
            <w:tcW w:w="775" w:type="pct"/>
            <w:vAlign w:val="center"/>
          </w:tcPr>
          <w:p w14:paraId="4B6B8D10">
            <w:pPr>
              <w:jc w:val="center"/>
            </w:pPr>
          </w:p>
        </w:tc>
        <w:tc>
          <w:tcPr>
            <w:tcW w:w="618" w:type="pct"/>
            <w:vAlign w:val="center"/>
          </w:tcPr>
          <w:p w14:paraId="780F7C78">
            <w:pPr>
              <w:jc w:val="center"/>
            </w:pPr>
          </w:p>
        </w:tc>
        <w:tc>
          <w:tcPr>
            <w:tcW w:w="621" w:type="pct"/>
            <w:vAlign w:val="center"/>
          </w:tcPr>
          <w:p w14:paraId="052709C0">
            <w:pPr>
              <w:jc w:val="center"/>
            </w:pPr>
          </w:p>
        </w:tc>
        <w:tc>
          <w:tcPr>
            <w:tcW w:w="2147" w:type="pct"/>
            <w:vAlign w:val="center"/>
          </w:tcPr>
          <w:p w14:paraId="45ADAB7E">
            <w:pPr>
              <w:jc w:val="center"/>
            </w:pPr>
          </w:p>
        </w:tc>
      </w:tr>
      <w:tr w14:paraId="4895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5" w:type="pct"/>
            <w:vAlign w:val="center"/>
          </w:tcPr>
          <w:p w14:paraId="2F3251C0">
            <w:pPr>
              <w:jc w:val="center"/>
            </w:pPr>
            <w:r>
              <w:t>项目副经理</w:t>
            </w:r>
          </w:p>
        </w:tc>
        <w:tc>
          <w:tcPr>
            <w:tcW w:w="775" w:type="pct"/>
            <w:vAlign w:val="center"/>
          </w:tcPr>
          <w:p w14:paraId="3876F00B">
            <w:pPr>
              <w:jc w:val="center"/>
            </w:pPr>
          </w:p>
        </w:tc>
        <w:tc>
          <w:tcPr>
            <w:tcW w:w="618" w:type="pct"/>
            <w:vAlign w:val="center"/>
          </w:tcPr>
          <w:p w14:paraId="45E39FCD">
            <w:pPr>
              <w:jc w:val="center"/>
            </w:pPr>
          </w:p>
        </w:tc>
        <w:tc>
          <w:tcPr>
            <w:tcW w:w="621" w:type="pct"/>
            <w:vAlign w:val="center"/>
          </w:tcPr>
          <w:p w14:paraId="48765217">
            <w:pPr>
              <w:jc w:val="center"/>
            </w:pPr>
          </w:p>
        </w:tc>
        <w:tc>
          <w:tcPr>
            <w:tcW w:w="2147" w:type="pct"/>
            <w:vAlign w:val="center"/>
          </w:tcPr>
          <w:p w14:paraId="7E38154B">
            <w:pPr>
              <w:jc w:val="center"/>
            </w:pPr>
          </w:p>
        </w:tc>
      </w:tr>
      <w:tr w14:paraId="2A73D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835" w:type="pct"/>
            <w:vAlign w:val="center"/>
          </w:tcPr>
          <w:p w14:paraId="3641ED98">
            <w:pPr>
              <w:jc w:val="center"/>
            </w:pPr>
            <w:r>
              <w:t>设计负责人</w:t>
            </w:r>
          </w:p>
        </w:tc>
        <w:tc>
          <w:tcPr>
            <w:tcW w:w="775" w:type="pct"/>
            <w:vAlign w:val="center"/>
          </w:tcPr>
          <w:p w14:paraId="1A44B7E3">
            <w:pPr>
              <w:jc w:val="center"/>
            </w:pPr>
          </w:p>
        </w:tc>
        <w:tc>
          <w:tcPr>
            <w:tcW w:w="618" w:type="pct"/>
            <w:vAlign w:val="center"/>
          </w:tcPr>
          <w:p w14:paraId="594F46DF">
            <w:pPr>
              <w:jc w:val="center"/>
            </w:pPr>
          </w:p>
        </w:tc>
        <w:tc>
          <w:tcPr>
            <w:tcW w:w="621" w:type="pct"/>
            <w:vAlign w:val="center"/>
          </w:tcPr>
          <w:p w14:paraId="515EB6D2">
            <w:pPr>
              <w:jc w:val="center"/>
            </w:pPr>
          </w:p>
        </w:tc>
        <w:tc>
          <w:tcPr>
            <w:tcW w:w="2147" w:type="pct"/>
            <w:vAlign w:val="center"/>
          </w:tcPr>
          <w:p w14:paraId="39988003">
            <w:pPr>
              <w:jc w:val="center"/>
            </w:pPr>
          </w:p>
        </w:tc>
      </w:tr>
      <w:tr w14:paraId="2086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Align w:val="center"/>
          </w:tcPr>
          <w:p w14:paraId="393BA49B">
            <w:pPr>
              <w:jc w:val="center"/>
            </w:pPr>
            <w:r>
              <w:t>采购负责人</w:t>
            </w:r>
          </w:p>
        </w:tc>
        <w:tc>
          <w:tcPr>
            <w:tcW w:w="775" w:type="pct"/>
            <w:vAlign w:val="center"/>
          </w:tcPr>
          <w:p w14:paraId="40269F3B">
            <w:pPr>
              <w:jc w:val="center"/>
            </w:pPr>
          </w:p>
        </w:tc>
        <w:tc>
          <w:tcPr>
            <w:tcW w:w="618" w:type="pct"/>
            <w:vAlign w:val="center"/>
          </w:tcPr>
          <w:p w14:paraId="24B77ADE">
            <w:pPr>
              <w:jc w:val="center"/>
            </w:pPr>
          </w:p>
        </w:tc>
        <w:tc>
          <w:tcPr>
            <w:tcW w:w="621" w:type="pct"/>
            <w:vAlign w:val="center"/>
          </w:tcPr>
          <w:p w14:paraId="2DF167B9">
            <w:pPr>
              <w:jc w:val="center"/>
            </w:pPr>
          </w:p>
        </w:tc>
        <w:tc>
          <w:tcPr>
            <w:tcW w:w="2147" w:type="pct"/>
            <w:vAlign w:val="center"/>
          </w:tcPr>
          <w:p w14:paraId="2124EC37">
            <w:pPr>
              <w:jc w:val="center"/>
            </w:pPr>
          </w:p>
        </w:tc>
      </w:tr>
      <w:tr w14:paraId="2C64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Align w:val="center"/>
          </w:tcPr>
          <w:p w14:paraId="6CEC6E51">
            <w:pPr>
              <w:jc w:val="center"/>
            </w:pPr>
            <w:r>
              <w:t>造价管理</w:t>
            </w:r>
          </w:p>
        </w:tc>
        <w:tc>
          <w:tcPr>
            <w:tcW w:w="775" w:type="pct"/>
            <w:vAlign w:val="center"/>
          </w:tcPr>
          <w:p w14:paraId="45510193">
            <w:pPr>
              <w:jc w:val="center"/>
            </w:pPr>
          </w:p>
        </w:tc>
        <w:tc>
          <w:tcPr>
            <w:tcW w:w="618" w:type="pct"/>
            <w:vAlign w:val="center"/>
          </w:tcPr>
          <w:p w14:paraId="4FB650D3">
            <w:pPr>
              <w:jc w:val="center"/>
            </w:pPr>
          </w:p>
        </w:tc>
        <w:tc>
          <w:tcPr>
            <w:tcW w:w="621" w:type="pct"/>
            <w:vAlign w:val="center"/>
          </w:tcPr>
          <w:p w14:paraId="20478220">
            <w:pPr>
              <w:jc w:val="center"/>
            </w:pPr>
          </w:p>
        </w:tc>
        <w:tc>
          <w:tcPr>
            <w:tcW w:w="2147" w:type="pct"/>
            <w:vAlign w:val="center"/>
          </w:tcPr>
          <w:p w14:paraId="7257C66F">
            <w:pPr>
              <w:jc w:val="center"/>
            </w:pPr>
          </w:p>
        </w:tc>
      </w:tr>
      <w:tr w14:paraId="3527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5" w:type="pct"/>
            <w:vAlign w:val="center"/>
          </w:tcPr>
          <w:p w14:paraId="29B8B4D4">
            <w:pPr>
              <w:jc w:val="center"/>
            </w:pPr>
            <w:r>
              <w:t>质量管理</w:t>
            </w:r>
          </w:p>
        </w:tc>
        <w:tc>
          <w:tcPr>
            <w:tcW w:w="775" w:type="pct"/>
            <w:vAlign w:val="center"/>
          </w:tcPr>
          <w:p w14:paraId="2DFDED34">
            <w:pPr>
              <w:jc w:val="center"/>
            </w:pPr>
          </w:p>
        </w:tc>
        <w:tc>
          <w:tcPr>
            <w:tcW w:w="618" w:type="pct"/>
            <w:vAlign w:val="center"/>
          </w:tcPr>
          <w:p w14:paraId="0181A29C">
            <w:pPr>
              <w:jc w:val="center"/>
            </w:pPr>
          </w:p>
        </w:tc>
        <w:tc>
          <w:tcPr>
            <w:tcW w:w="621" w:type="pct"/>
            <w:vAlign w:val="center"/>
          </w:tcPr>
          <w:p w14:paraId="6547EF6B">
            <w:pPr>
              <w:jc w:val="center"/>
            </w:pPr>
          </w:p>
        </w:tc>
        <w:tc>
          <w:tcPr>
            <w:tcW w:w="2147" w:type="pct"/>
            <w:vAlign w:val="center"/>
          </w:tcPr>
          <w:p w14:paraId="13B8D748">
            <w:pPr>
              <w:jc w:val="center"/>
            </w:pPr>
          </w:p>
        </w:tc>
      </w:tr>
      <w:tr w14:paraId="65B7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Align w:val="center"/>
          </w:tcPr>
          <w:p w14:paraId="4DBDB201">
            <w:pPr>
              <w:jc w:val="center"/>
            </w:pPr>
            <w:r>
              <w:t>计划管理</w:t>
            </w:r>
          </w:p>
        </w:tc>
        <w:tc>
          <w:tcPr>
            <w:tcW w:w="775" w:type="pct"/>
            <w:vAlign w:val="center"/>
          </w:tcPr>
          <w:p w14:paraId="01629C45">
            <w:pPr>
              <w:jc w:val="center"/>
            </w:pPr>
          </w:p>
        </w:tc>
        <w:tc>
          <w:tcPr>
            <w:tcW w:w="618" w:type="pct"/>
            <w:vAlign w:val="center"/>
          </w:tcPr>
          <w:p w14:paraId="3F11B69E">
            <w:pPr>
              <w:jc w:val="center"/>
            </w:pPr>
          </w:p>
        </w:tc>
        <w:tc>
          <w:tcPr>
            <w:tcW w:w="621" w:type="pct"/>
            <w:vAlign w:val="center"/>
          </w:tcPr>
          <w:p w14:paraId="2597A40B">
            <w:pPr>
              <w:jc w:val="center"/>
            </w:pPr>
          </w:p>
        </w:tc>
        <w:tc>
          <w:tcPr>
            <w:tcW w:w="2147" w:type="pct"/>
            <w:vAlign w:val="center"/>
          </w:tcPr>
          <w:p w14:paraId="457CF45D">
            <w:pPr>
              <w:jc w:val="center"/>
            </w:pPr>
          </w:p>
        </w:tc>
      </w:tr>
      <w:tr w14:paraId="319A2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Align w:val="center"/>
          </w:tcPr>
          <w:p w14:paraId="4BD263D1">
            <w:pPr>
              <w:jc w:val="center"/>
            </w:pPr>
            <w:r>
              <w:t>安全管理</w:t>
            </w:r>
          </w:p>
        </w:tc>
        <w:tc>
          <w:tcPr>
            <w:tcW w:w="775" w:type="pct"/>
            <w:vAlign w:val="center"/>
          </w:tcPr>
          <w:p w14:paraId="614C399E">
            <w:pPr>
              <w:jc w:val="center"/>
            </w:pPr>
          </w:p>
        </w:tc>
        <w:tc>
          <w:tcPr>
            <w:tcW w:w="618" w:type="pct"/>
            <w:vAlign w:val="center"/>
          </w:tcPr>
          <w:p w14:paraId="444B436E">
            <w:pPr>
              <w:jc w:val="center"/>
            </w:pPr>
          </w:p>
        </w:tc>
        <w:tc>
          <w:tcPr>
            <w:tcW w:w="621" w:type="pct"/>
            <w:vAlign w:val="center"/>
          </w:tcPr>
          <w:p w14:paraId="1666B56B">
            <w:pPr>
              <w:jc w:val="center"/>
            </w:pPr>
          </w:p>
        </w:tc>
        <w:tc>
          <w:tcPr>
            <w:tcW w:w="2147" w:type="pct"/>
            <w:vAlign w:val="center"/>
          </w:tcPr>
          <w:p w14:paraId="7D4A9745">
            <w:pPr>
              <w:jc w:val="center"/>
            </w:pPr>
          </w:p>
        </w:tc>
      </w:tr>
      <w:tr w14:paraId="430CC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5" w:type="pct"/>
            <w:vAlign w:val="center"/>
          </w:tcPr>
          <w:p w14:paraId="016DCAED">
            <w:pPr>
              <w:jc w:val="center"/>
            </w:pPr>
            <w:r>
              <w:t>环境管理</w:t>
            </w:r>
          </w:p>
        </w:tc>
        <w:tc>
          <w:tcPr>
            <w:tcW w:w="775" w:type="pct"/>
            <w:vAlign w:val="center"/>
          </w:tcPr>
          <w:p w14:paraId="6C0E9C7E">
            <w:pPr>
              <w:jc w:val="center"/>
            </w:pPr>
          </w:p>
        </w:tc>
        <w:tc>
          <w:tcPr>
            <w:tcW w:w="618" w:type="pct"/>
            <w:vAlign w:val="center"/>
          </w:tcPr>
          <w:p w14:paraId="07968909">
            <w:pPr>
              <w:jc w:val="center"/>
            </w:pPr>
          </w:p>
        </w:tc>
        <w:tc>
          <w:tcPr>
            <w:tcW w:w="621" w:type="pct"/>
            <w:vAlign w:val="center"/>
          </w:tcPr>
          <w:p w14:paraId="3513D5A4">
            <w:pPr>
              <w:jc w:val="center"/>
            </w:pPr>
          </w:p>
        </w:tc>
        <w:tc>
          <w:tcPr>
            <w:tcW w:w="2147" w:type="pct"/>
            <w:vAlign w:val="center"/>
          </w:tcPr>
          <w:p w14:paraId="54F7D755">
            <w:pPr>
              <w:jc w:val="center"/>
            </w:pPr>
          </w:p>
        </w:tc>
      </w:tr>
      <w:tr w14:paraId="07C0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pct"/>
            <w:vMerge w:val="restart"/>
            <w:tcBorders>
              <w:bottom w:val="nil"/>
            </w:tcBorders>
            <w:vAlign w:val="center"/>
          </w:tcPr>
          <w:p w14:paraId="5B5AD6E0">
            <w:pPr>
              <w:jc w:val="center"/>
            </w:pPr>
            <w:r>
              <w:t>其他人员</w:t>
            </w:r>
          </w:p>
        </w:tc>
        <w:tc>
          <w:tcPr>
            <w:tcW w:w="775" w:type="pct"/>
            <w:vAlign w:val="center"/>
          </w:tcPr>
          <w:p w14:paraId="46F223D2">
            <w:pPr>
              <w:jc w:val="center"/>
            </w:pPr>
          </w:p>
        </w:tc>
        <w:tc>
          <w:tcPr>
            <w:tcW w:w="618" w:type="pct"/>
            <w:vAlign w:val="center"/>
          </w:tcPr>
          <w:p w14:paraId="5254FDF7">
            <w:pPr>
              <w:jc w:val="center"/>
            </w:pPr>
          </w:p>
        </w:tc>
        <w:tc>
          <w:tcPr>
            <w:tcW w:w="621" w:type="pct"/>
            <w:vAlign w:val="center"/>
          </w:tcPr>
          <w:p w14:paraId="219FBBEF">
            <w:pPr>
              <w:jc w:val="center"/>
            </w:pPr>
          </w:p>
        </w:tc>
        <w:tc>
          <w:tcPr>
            <w:tcW w:w="2147" w:type="pct"/>
            <w:vAlign w:val="center"/>
          </w:tcPr>
          <w:p w14:paraId="07F97314">
            <w:pPr>
              <w:jc w:val="center"/>
            </w:pPr>
          </w:p>
        </w:tc>
      </w:tr>
      <w:tr w14:paraId="07DF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5" w:type="pct"/>
            <w:vMerge w:val="continue"/>
            <w:tcBorders>
              <w:top w:val="nil"/>
              <w:bottom w:val="nil"/>
            </w:tcBorders>
            <w:vAlign w:val="center"/>
          </w:tcPr>
          <w:p w14:paraId="7F6FAFA8">
            <w:pPr>
              <w:jc w:val="center"/>
            </w:pPr>
          </w:p>
        </w:tc>
        <w:tc>
          <w:tcPr>
            <w:tcW w:w="775" w:type="pct"/>
            <w:vAlign w:val="center"/>
          </w:tcPr>
          <w:p w14:paraId="7AB2B37E">
            <w:pPr>
              <w:jc w:val="center"/>
            </w:pPr>
          </w:p>
        </w:tc>
        <w:tc>
          <w:tcPr>
            <w:tcW w:w="618" w:type="pct"/>
            <w:vAlign w:val="center"/>
          </w:tcPr>
          <w:p w14:paraId="349CE588">
            <w:pPr>
              <w:jc w:val="center"/>
            </w:pPr>
          </w:p>
        </w:tc>
        <w:tc>
          <w:tcPr>
            <w:tcW w:w="621" w:type="pct"/>
            <w:vAlign w:val="center"/>
          </w:tcPr>
          <w:p w14:paraId="021E5685">
            <w:pPr>
              <w:jc w:val="center"/>
            </w:pPr>
          </w:p>
        </w:tc>
        <w:tc>
          <w:tcPr>
            <w:tcW w:w="2147" w:type="pct"/>
            <w:vAlign w:val="center"/>
          </w:tcPr>
          <w:p w14:paraId="60E9E410">
            <w:pPr>
              <w:jc w:val="center"/>
            </w:pPr>
          </w:p>
        </w:tc>
      </w:tr>
      <w:tr w14:paraId="6AD4A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35" w:type="pct"/>
            <w:vMerge w:val="continue"/>
            <w:tcBorders>
              <w:top w:val="nil"/>
            </w:tcBorders>
            <w:vAlign w:val="center"/>
          </w:tcPr>
          <w:p w14:paraId="14D0CD09">
            <w:pPr>
              <w:jc w:val="center"/>
            </w:pPr>
          </w:p>
        </w:tc>
        <w:tc>
          <w:tcPr>
            <w:tcW w:w="775" w:type="pct"/>
            <w:vAlign w:val="center"/>
          </w:tcPr>
          <w:p w14:paraId="2956866C">
            <w:pPr>
              <w:jc w:val="center"/>
            </w:pPr>
          </w:p>
        </w:tc>
        <w:tc>
          <w:tcPr>
            <w:tcW w:w="618" w:type="pct"/>
            <w:vAlign w:val="center"/>
          </w:tcPr>
          <w:p w14:paraId="776FA0E4">
            <w:pPr>
              <w:jc w:val="center"/>
            </w:pPr>
          </w:p>
        </w:tc>
        <w:tc>
          <w:tcPr>
            <w:tcW w:w="621" w:type="pct"/>
            <w:vAlign w:val="center"/>
          </w:tcPr>
          <w:p w14:paraId="107C4BDC">
            <w:pPr>
              <w:jc w:val="center"/>
            </w:pPr>
          </w:p>
        </w:tc>
        <w:tc>
          <w:tcPr>
            <w:tcW w:w="2147" w:type="pct"/>
            <w:vAlign w:val="center"/>
          </w:tcPr>
          <w:p w14:paraId="0B76E24F">
            <w:pPr>
              <w:jc w:val="center"/>
            </w:pPr>
          </w:p>
        </w:tc>
      </w:tr>
    </w:tbl>
    <w:p w14:paraId="7BA538C4">
      <w:pPr>
        <w:pStyle w:val="3"/>
      </w:pPr>
    </w:p>
    <w:p w14:paraId="0C7FA9C6">
      <w:pPr>
        <w:sectPr>
          <w:footerReference r:id="rId14" w:type="default"/>
          <w:pgSz w:w="11902" w:h="16841"/>
          <w:pgMar w:top="1268" w:right="1399" w:bottom="1436" w:left="1402" w:header="0" w:footer="1231" w:gutter="0"/>
          <w:cols w:space="720" w:num="1"/>
        </w:sectPr>
      </w:pPr>
    </w:p>
    <w:p w14:paraId="18A0BA11">
      <w:pPr>
        <w:spacing w:before="59" w:line="219" w:lineRule="auto"/>
        <w:ind w:left="59"/>
        <w:outlineLvl w:val="3"/>
        <w:rPr>
          <w:rFonts w:hint="eastAsia" w:ascii="黑体" w:hAnsi="黑体" w:eastAsia="黑体" w:cs="黑体"/>
          <w:sz w:val="30"/>
          <w:szCs w:val="30"/>
        </w:rPr>
      </w:pPr>
      <w:r>
        <w:rPr>
          <w:rFonts w:ascii="黑体" w:hAnsi="黑体" w:eastAsia="黑体" w:cs="黑体"/>
          <w:b/>
          <w:bCs/>
          <w:spacing w:val="-5"/>
          <w:sz w:val="30"/>
          <w:szCs w:val="30"/>
        </w:rPr>
        <w:t>附件6价格指数权重表</w:t>
      </w:r>
    </w:p>
    <w:p w14:paraId="690EED4C">
      <w:pPr>
        <w:spacing w:before="25"/>
      </w:pP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6"/>
        <w:gridCol w:w="574"/>
        <w:gridCol w:w="868"/>
        <w:gridCol w:w="1195"/>
        <w:gridCol w:w="1066"/>
        <w:gridCol w:w="1200"/>
        <w:gridCol w:w="1212"/>
        <w:gridCol w:w="1369"/>
      </w:tblGrid>
      <w:tr w14:paraId="67E1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97" w:type="pct"/>
            <w:vMerge w:val="restart"/>
            <w:tcBorders>
              <w:bottom w:val="nil"/>
            </w:tcBorders>
            <w:vAlign w:val="center"/>
          </w:tcPr>
          <w:p w14:paraId="7CB2759D">
            <w:pPr>
              <w:jc w:val="center"/>
            </w:pPr>
            <w:r>
              <w:t>序号</w:t>
            </w:r>
          </w:p>
        </w:tc>
        <w:tc>
          <w:tcPr>
            <w:tcW w:w="866" w:type="pct"/>
            <w:gridSpan w:val="2"/>
            <w:vMerge w:val="restart"/>
            <w:tcBorders>
              <w:bottom w:val="nil"/>
            </w:tcBorders>
            <w:vAlign w:val="center"/>
          </w:tcPr>
          <w:p w14:paraId="655715A6">
            <w:pPr>
              <w:jc w:val="center"/>
            </w:pPr>
            <w:r>
              <w:t>名称</w:t>
            </w:r>
          </w:p>
        </w:tc>
        <w:tc>
          <w:tcPr>
            <w:tcW w:w="1360" w:type="pct"/>
            <w:gridSpan w:val="2"/>
            <w:vAlign w:val="center"/>
          </w:tcPr>
          <w:p w14:paraId="58E666D5">
            <w:pPr>
              <w:jc w:val="center"/>
            </w:pPr>
            <w:r>
              <w:t>变更权重B</w:t>
            </w:r>
          </w:p>
        </w:tc>
        <w:tc>
          <w:tcPr>
            <w:tcW w:w="1451" w:type="pct"/>
            <w:gridSpan w:val="2"/>
            <w:vAlign w:val="center"/>
          </w:tcPr>
          <w:p w14:paraId="1A03D7F1">
            <w:pPr>
              <w:jc w:val="center"/>
            </w:pPr>
            <w:r>
              <w:t>基本价格指数F0</w:t>
            </w:r>
          </w:p>
        </w:tc>
        <w:tc>
          <w:tcPr>
            <w:tcW w:w="823" w:type="pct"/>
            <w:vAlign w:val="center"/>
          </w:tcPr>
          <w:p w14:paraId="207FF4DF">
            <w:pPr>
              <w:jc w:val="center"/>
            </w:pPr>
            <w:r>
              <w:t>备注</w:t>
            </w:r>
          </w:p>
        </w:tc>
      </w:tr>
      <w:tr w14:paraId="2EDC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97" w:type="pct"/>
            <w:vMerge w:val="continue"/>
            <w:tcBorders>
              <w:top w:val="nil"/>
            </w:tcBorders>
            <w:vAlign w:val="center"/>
          </w:tcPr>
          <w:p w14:paraId="5C33D877">
            <w:pPr>
              <w:jc w:val="center"/>
            </w:pPr>
          </w:p>
        </w:tc>
        <w:tc>
          <w:tcPr>
            <w:tcW w:w="866" w:type="pct"/>
            <w:gridSpan w:val="2"/>
            <w:vMerge w:val="continue"/>
            <w:tcBorders>
              <w:top w:val="nil"/>
            </w:tcBorders>
            <w:vAlign w:val="center"/>
          </w:tcPr>
          <w:p w14:paraId="4C0447AA">
            <w:pPr>
              <w:jc w:val="center"/>
            </w:pPr>
          </w:p>
        </w:tc>
        <w:tc>
          <w:tcPr>
            <w:tcW w:w="719" w:type="pct"/>
            <w:vAlign w:val="center"/>
          </w:tcPr>
          <w:p w14:paraId="5B3E16F4">
            <w:pPr>
              <w:jc w:val="center"/>
            </w:pPr>
            <w:r>
              <w:t>代号</w:t>
            </w:r>
          </w:p>
        </w:tc>
        <w:tc>
          <w:tcPr>
            <w:tcW w:w="640" w:type="pct"/>
            <w:vAlign w:val="center"/>
          </w:tcPr>
          <w:p w14:paraId="78037271">
            <w:pPr>
              <w:jc w:val="center"/>
            </w:pPr>
            <w:r>
              <w:t>权重</w:t>
            </w:r>
          </w:p>
        </w:tc>
        <w:tc>
          <w:tcPr>
            <w:tcW w:w="722" w:type="pct"/>
            <w:vAlign w:val="center"/>
          </w:tcPr>
          <w:p w14:paraId="374A5728">
            <w:pPr>
              <w:jc w:val="center"/>
            </w:pPr>
            <w:r>
              <w:t>代号</w:t>
            </w:r>
          </w:p>
        </w:tc>
        <w:tc>
          <w:tcPr>
            <w:tcW w:w="729" w:type="pct"/>
            <w:vAlign w:val="center"/>
          </w:tcPr>
          <w:p w14:paraId="39FE67FB">
            <w:pPr>
              <w:jc w:val="center"/>
            </w:pPr>
            <w:r>
              <w:t>指数</w:t>
            </w:r>
          </w:p>
        </w:tc>
        <w:tc>
          <w:tcPr>
            <w:tcW w:w="823" w:type="pct"/>
            <w:vAlign w:val="center"/>
          </w:tcPr>
          <w:p w14:paraId="6FE7E8D7">
            <w:pPr>
              <w:jc w:val="center"/>
            </w:pPr>
          </w:p>
        </w:tc>
      </w:tr>
      <w:tr w14:paraId="1A27C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97" w:type="pct"/>
            <w:vAlign w:val="center"/>
          </w:tcPr>
          <w:p w14:paraId="584515B5">
            <w:pPr>
              <w:jc w:val="center"/>
            </w:pPr>
          </w:p>
        </w:tc>
        <w:tc>
          <w:tcPr>
            <w:tcW w:w="345" w:type="pct"/>
            <w:vMerge w:val="restart"/>
            <w:tcBorders>
              <w:bottom w:val="nil"/>
            </w:tcBorders>
            <w:textDirection w:val="tbRlV"/>
            <w:vAlign w:val="center"/>
          </w:tcPr>
          <w:p w14:paraId="6D5EB80A">
            <w:pPr>
              <w:jc w:val="center"/>
            </w:pPr>
            <w:r>
              <w:t>变值部分</w:t>
            </w:r>
          </w:p>
        </w:tc>
        <w:tc>
          <w:tcPr>
            <w:tcW w:w="520" w:type="pct"/>
            <w:vAlign w:val="center"/>
          </w:tcPr>
          <w:p w14:paraId="65C73810">
            <w:pPr>
              <w:jc w:val="center"/>
            </w:pPr>
          </w:p>
        </w:tc>
        <w:tc>
          <w:tcPr>
            <w:tcW w:w="719" w:type="pct"/>
            <w:vAlign w:val="center"/>
          </w:tcPr>
          <w:p w14:paraId="26BEB553">
            <w:pPr>
              <w:jc w:val="center"/>
            </w:pPr>
            <w:r>
              <w:t>B1</w:t>
            </w:r>
          </w:p>
        </w:tc>
        <w:tc>
          <w:tcPr>
            <w:tcW w:w="640" w:type="pct"/>
            <w:vAlign w:val="center"/>
          </w:tcPr>
          <w:p w14:paraId="7D3F0020">
            <w:pPr>
              <w:jc w:val="center"/>
            </w:pPr>
          </w:p>
        </w:tc>
        <w:tc>
          <w:tcPr>
            <w:tcW w:w="722" w:type="pct"/>
            <w:vAlign w:val="center"/>
          </w:tcPr>
          <w:p w14:paraId="74F4B6B2">
            <w:pPr>
              <w:jc w:val="center"/>
            </w:pPr>
            <w:r>
              <w:t>F01</w:t>
            </w:r>
          </w:p>
        </w:tc>
        <w:tc>
          <w:tcPr>
            <w:tcW w:w="729" w:type="pct"/>
            <w:vAlign w:val="center"/>
          </w:tcPr>
          <w:p w14:paraId="6B11BA3B">
            <w:pPr>
              <w:jc w:val="center"/>
            </w:pPr>
          </w:p>
        </w:tc>
        <w:tc>
          <w:tcPr>
            <w:tcW w:w="823" w:type="pct"/>
            <w:vAlign w:val="center"/>
          </w:tcPr>
          <w:p w14:paraId="2222551C">
            <w:pPr>
              <w:jc w:val="center"/>
            </w:pPr>
          </w:p>
        </w:tc>
      </w:tr>
      <w:tr w14:paraId="0EBD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7" w:type="pct"/>
            <w:vAlign w:val="center"/>
          </w:tcPr>
          <w:p w14:paraId="03195EB0">
            <w:pPr>
              <w:jc w:val="center"/>
            </w:pPr>
          </w:p>
        </w:tc>
        <w:tc>
          <w:tcPr>
            <w:tcW w:w="345" w:type="pct"/>
            <w:vMerge w:val="continue"/>
            <w:tcBorders>
              <w:top w:val="nil"/>
              <w:bottom w:val="nil"/>
            </w:tcBorders>
            <w:textDirection w:val="tbRlV"/>
            <w:vAlign w:val="center"/>
          </w:tcPr>
          <w:p w14:paraId="7F52361D">
            <w:pPr>
              <w:jc w:val="center"/>
            </w:pPr>
          </w:p>
        </w:tc>
        <w:tc>
          <w:tcPr>
            <w:tcW w:w="520" w:type="pct"/>
            <w:vAlign w:val="center"/>
          </w:tcPr>
          <w:p w14:paraId="0FF2EEE0">
            <w:pPr>
              <w:jc w:val="center"/>
            </w:pPr>
          </w:p>
        </w:tc>
        <w:tc>
          <w:tcPr>
            <w:tcW w:w="719" w:type="pct"/>
            <w:vAlign w:val="center"/>
          </w:tcPr>
          <w:p w14:paraId="75C2C6FC">
            <w:pPr>
              <w:jc w:val="center"/>
            </w:pPr>
            <w:r>
              <w:t>B2</w:t>
            </w:r>
          </w:p>
        </w:tc>
        <w:tc>
          <w:tcPr>
            <w:tcW w:w="640" w:type="pct"/>
            <w:vAlign w:val="center"/>
          </w:tcPr>
          <w:p w14:paraId="4C58B9EA">
            <w:pPr>
              <w:jc w:val="center"/>
            </w:pPr>
          </w:p>
        </w:tc>
        <w:tc>
          <w:tcPr>
            <w:tcW w:w="722" w:type="pct"/>
            <w:vAlign w:val="center"/>
          </w:tcPr>
          <w:p w14:paraId="02E13654">
            <w:pPr>
              <w:jc w:val="center"/>
            </w:pPr>
            <w:r>
              <w:t>F02</w:t>
            </w:r>
          </w:p>
        </w:tc>
        <w:tc>
          <w:tcPr>
            <w:tcW w:w="729" w:type="pct"/>
            <w:vAlign w:val="center"/>
          </w:tcPr>
          <w:p w14:paraId="14EDF2B6">
            <w:pPr>
              <w:jc w:val="center"/>
            </w:pPr>
          </w:p>
        </w:tc>
        <w:tc>
          <w:tcPr>
            <w:tcW w:w="823" w:type="pct"/>
            <w:vAlign w:val="center"/>
          </w:tcPr>
          <w:p w14:paraId="0784DA75">
            <w:pPr>
              <w:jc w:val="center"/>
            </w:pPr>
          </w:p>
        </w:tc>
      </w:tr>
      <w:tr w14:paraId="328B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97" w:type="pct"/>
            <w:vAlign w:val="center"/>
          </w:tcPr>
          <w:p w14:paraId="157E78DB">
            <w:pPr>
              <w:jc w:val="center"/>
            </w:pPr>
          </w:p>
        </w:tc>
        <w:tc>
          <w:tcPr>
            <w:tcW w:w="345" w:type="pct"/>
            <w:vMerge w:val="continue"/>
            <w:tcBorders>
              <w:top w:val="nil"/>
              <w:bottom w:val="nil"/>
            </w:tcBorders>
            <w:textDirection w:val="tbRlV"/>
            <w:vAlign w:val="center"/>
          </w:tcPr>
          <w:p w14:paraId="2FEF3144">
            <w:pPr>
              <w:jc w:val="center"/>
            </w:pPr>
          </w:p>
        </w:tc>
        <w:tc>
          <w:tcPr>
            <w:tcW w:w="520" w:type="pct"/>
            <w:vAlign w:val="center"/>
          </w:tcPr>
          <w:p w14:paraId="0641D107">
            <w:pPr>
              <w:jc w:val="center"/>
            </w:pPr>
          </w:p>
        </w:tc>
        <w:tc>
          <w:tcPr>
            <w:tcW w:w="719" w:type="pct"/>
            <w:vAlign w:val="center"/>
          </w:tcPr>
          <w:p w14:paraId="25FCAC6C">
            <w:pPr>
              <w:jc w:val="center"/>
            </w:pPr>
            <w:r>
              <w:t>B3</w:t>
            </w:r>
          </w:p>
        </w:tc>
        <w:tc>
          <w:tcPr>
            <w:tcW w:w="640" w:type="pct"/>
            <w:vAlign w:val="center"/>
          </w:tcPr>
          <w:p w14:paraId="696F6B85">
            <w:pPr>
              <w:jc w:val="center"/>
            </w:pPr>
          </w:p>
        </w:tc>
        <w:tc>
          <w:tcPr>
            <w:tcW w:w="722" w:type="pct"/>
            <w:vAlign w:val="center"/>
          </w:tcPr>
          <w:p w14:paraId="727CC7AC">
            <w:pPr>
              <w:jc w:val="center"/>
            </w:pPr>
            <w:r>
              <w:t>F03</w:t>
            </w:r>
          </w:p>
        </w:tc>
        <w:tc>
          <w:tcPr>
            <w:tcW w:w="729" w:type="pct"/>
            <w:vAlign w:val="center"/>
          </w:tcPr>
          <w:p w14:paraId="38050314">
            <w:pPr>
              <w:jc w:val="center"/>
            </w:pPr>
          </w:p>
        </w:tc>
        <w:tc>
          <w:tcPr>
            <w:tcW w:w="823" w:type="pct"/>
            <w:vAlign w:val="center"/>
          </w:tcPr>
          <w:p w14:paraId="3353D7D4">
            <w:pPr>
              <w:jc w:val="center"/>
            </w:pPr>
          </w:p>
        </w:tc>
      </w:tr>
      <w:tr w14:paraId="4B89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97" w:type="pct"/>
            <w:vAlign w:val="center"/>
          </w:tcPr>
          <w:p w14:paraId="3506FC80">
            <w:pPr>
              <w:jc w:val="center"/>
            </w:pPr>
          </w:p>
        </w:tc>
        <w:tc>
          <w:tcPr>
            <w:tcW w:w="345" w:type="pct"/>
            <w:vMerge w:val="continue"/>
            <w:tcBorders>
              <w:top w:val="nil"/>
              <w:bottom w:val="nil"/>
            </w:tcBorders>
            <w:textDirection w:val="tbRlV"/>
            <w:vAlign w:val="center"/>
          </w:tcPr>
          <w:p w14:paraId="6811826E">
            <w:pPr>
              <w:jc w:val="center"/>
            </w:pPr>
          </w:p>
        </w:tc>
        <w:tc>
          <w:tcPr>
            <w:tcW w:w="520" w:type="pct"/>
            <w:vAlign w:val="center"/>
          </w:tcPr>
          <w:p w14:paraId="02C59E31">
            <w:pPr>
              <w:jc w:val="center"/>
            </w:pPr>
          </w:p>
        </w:tc>
        <w:tc>
          <w:tcPr>
            <w:tcW w:w="719" w:type="pct"/>
            <w:vAlign w:val="center"/>
          </w:tcPr>
          <w:p w14:paraId="72526450">
            <w:pPr>
              <w:jc w:val="center"/>
            </w:pPr>
            <w:r>
              <w:t>B4</w:t>
            </w:r>
          </w:p>
        </w:tc>
        <w:tc>
          <w:tcPr>
            <w:tcW w:w="640" w:type="pct"/>
            <w:vAlign w:val="center"/>
          </w:tcPr>
          <w:p w14:paraId="5DDF38D7">
            <w:pPr>
              <w:jc w:val="center"/>
            </w:pPr>
          </w:p>
        </w:tc>
        <w:tc>
          <w:tcPr>
            <w:tcW w:w="722" w:type="pct"/>
            <w:vAlign w:val="center"/>
          </w:tcPr>
          <w:p w14:paraId="57947089">
            <w:pPr>
              <w:jc w:val="center"/>
            </w:pPr>
            <w:r>
              <w:t>F04</w:t>
            </w:r>
          </w:p>
        </w:tc>
        <w:tc>
          <w:tcPr>
            <w:tcW w:w="729" w:type="pct"/>
            <w:vAlign w:val="center"/>
          </w:tcPr>
          <w:p w14:paraId="74AE2F34">
            <w:pPr>
              <w:jc w:val="center"/>
            </w:pPr>
          </w:p>
        </w:tc>
        <w:tc>
          <w:tcPr>
            <w:tcW w:w="823" w:type="pct"/>
            <w:vAlign w:val="center"/>
          </w:tcPr>
          <w:p w14:paraId="5955CC42">
            <w:pPr>
              <w:jc w:val="center"/>
            </w:pPr>
          </w:p>
        </w:tc>
      </w:tr>
      <w:tr w14:paraId="3B0B3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97" w:type="pct"/>
            <w:vAlign w:val="center"/>
          </w:tcPr>
          <w:p w14:paraId="05AC139D">
            <w:pPr>
              <w:jc w:val="center"/>
            </w:pPr>
          </w:p>
        </w:tc>
        <w:tc>
          <w:tcPr>
            <w:tcW w:w="345" w:type="pct"/>
            <w:vMerge w:val="continue"/>
            <w:tcBorders>
              <w:top w:val="nil"/>
              <w:bottom w:val="nil"/>
            </w:tcBorders>
            <w:textDirection w:val="tbRlV"/>
            <w:vAlign w:val="center"/>
          </w:tcPr>
          <w:p w14:paraId="35792BB4">
            <w:pPr>
              <w:jc w:val="center"/>
            </w:pPr>
          </w:p>
        </w:tc>
        <w:tc>
          <w:tcPr>
            <w:tcW w:w="520" w:type="pct"/>
            <w:vAlign w:val="center"/>
          </w:tcPr>
          <w:p w14:paraId="048E5EAD">
            <w:pPr>
              <w:jc w:val="center"/>
            </w:pPr>
          </w:p>
        </w:tc>
        <w:tc>
          <w:tcPr>
            <w:tcW w:w="719" w:type="pct"/>
            <w:vAlign w:val="center"/>
          </w:tcPr>
          <w:p w14:paraId="64D2D4DC">
            <w:pPr>
              <w:jc w:val="center"/>
            </w:pPr>
          </w:p>
        </w:tc>
        <w:tc>
          <w:tcPr>
            <w:tcW w:w="640" w:type="pct"/>
            <w:vAlign w:val="center"/>
          </w:tcPr>
          <w:p w14:paraId="073CD6BD">
            <w:pPr>
              <w:jc w:val="center"/>
            </w:pPr>
          </w:p>
        </w:tc>
        <w:tc>
          <w:tcPr>
            <w:tcW w:w="722" w:type="pct"/>
            <w:vAlign w:val="center"/>
          </w:tcPr>
          <w:p w14:paraId="4406C9D5">
            <w:pPr>
              <w:jc w:val="center"/>
            </w:pPr>
          </w:p>
        </w:tc>
        <w:tc>
          <w:tcPr>
            <w:tcW w:w="729" w:type="pct"/>
            <w:vAlign w:val="center"/>
          </w:tcPr>
          <w:p w14:paraId="5379BA8F">
            <w:pPr>
              <w:jc w:val="center"/>
            </w:pPr>
          </w:p>
        </w:tc>
        <w:tc>
          <w:tcPr>
            <w:tcW w:w="823" w:type="pct"/>
            <w:vAlign w:val="center"/>
          </w:tcPr>
          <w:p w14:paraId="7FF6D30B">
            <w:pPr>
              <w:jc w:val="center"/>
            </w:pPr>
          </w:p>
        </w:tc>
      </w:tr>
      <w:tr w14:paraId="55E3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97" w:type="pct"/>
            <w:vAlign w:val="center"/>
          </w:tcPr>
          <w:p w14:paraId="38647451">
            <w:pPr>
              <w:jc w:val="center"/>
            </w:pPr>
          </w:p>
        </w:tc>
        <w:tc>
          <w:tcPr>
            <w:tcW w:w="345" w:type="pct"/>
            <w:vMerge w:val="continue"/>
            <w:tcBorders>
              <w:top w:val="nil"/>
            </w:tcBorders>
            <w:textDirection w:val="tbRlV"/>
            <w:vAlign w:val="center"/>
          </w:tcPr>
          <w:p w14:paraId="00CF1A4D">
            <w:pPr>
              <w:jc w:val="center"/>
            </w:pPr>
          </w:p>
        </w:tc>
        <w:tc>
          <w:tcPr>
            <w:tcW w:w="520" w:type="pct"/>
            <w:vAlign w:val="center"/>
          </w:tcPr>
          <w:p w14:paraId="2430AB67">
            <w:pPr>
              <w:jc w:val="center"/>
            </w:pPr>
          </w:p>
        </w:tc>
        <w:tc>
          <w:tcPr>
            <w:tcW w:w="719" w:type="pct"/>
            <w:vAlign w:val="center"/>
          </w:tcPr>
          <w:p w14:paraId="7A2C676E">
            <w:pPr>
              <w:jc w:val="center"/>
            </w:pPr>
          </w:p>
        </w:tc>
        <w:tc>
          <w:tcPr>
            <w:tcW w:w="640" w:type="pct"/>
            <w:vAlign w:val="center"/>
          </w:tcPr>
          <w:p w14:paraId="1488EA93">
            <w:pPr>
              <w:jc w:val="center"/>
            </w:pPr>
          </w:p>
        </w:tc>
        <w:tc>
          <w:tcPr>
            <w:tcW w:w="722" w:type="pct"/>
            <w:vAlign w:val="center"/>
          </w:tcPr>
          <w:p w14:paraId="639BD228">
            <w:pPr>
              <w:jc w:val="center"/>
            </w:pPr>
          </w:p>
        </w:tc>
        <w:tc>
          <w:tcPr>
            <w:tcW w:w="729" w:type="pct"/>
            <w:vAlign w:val="center"/>
          </w:tcPr>
          <w:p w14:paraId="6BDA30AE">
            <w:pPr>
              <w:jc w:val="center"/>
            </w:pPr>
          </w:p>
        </w:tc>
        <w:tc>
          <w:tcPr>
            <w:tcW w:w="823" w:type="pct"/>
            <w:vAlign w:val="center"/>
          </w:tcPr>
          <w:p w14:paraId="2C8A6F7C">
            <w:pPr>
              <w:jc w:val="center"/>
            </w:pPr>
          </w:p>
        </w:tc>
      </w:tr>
      <w:tr w14:paraId="506B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364" w:type="pct"/>
            <w:gridSpan w:val="3"/>
            <w:vAlign w:val="center"/>
          </w:tcPr>
          <w:p w14:paraId="1A89D60F">
            <w:pPr>
              <w:jc w:val="center"/>
            </w:pPr>
            <w:r>
              <w:t>定值部分权重A</w:t>
            </w:r>
          </w:p>
        </w:tc>
        <w:tc>
          <w:tcPr>
            <w:tcW w:w="719" w:type="pct"/>
            <w:vAlign w:val="center"/>
          </w:tcPr>
          <w:p w14:paraId="34E5B0A0">
            <w:pPr>
              <w:jc w:val="center"/>
            </w:pPr>
          </w:p>
        </w:tc>
        <w:tc>
          <w:tcPr>
            <w:tcW w:w="640" w:type="pct"/>
            <w:vAlign w:val="center"/>
          </w:tcPr>
          <w:p w14:paraId="6AB5C649">
            <w:pPr>
              <w:jc w:val="center"/>
            </w:pPr>
          </w:p>
        </w:tc>
        <w:tc>
          <w:tcPr>
            <w:tcW w:w="722" w:type="pct"/>
            <w:vAlign w:val="center"/>
          </w:tcPr>
          <w:p w14:paraId="5A84C864">
            <w:pPr>
              <w:jc w:val="center"/>
            </w:pPr>
          </w:p>
        </w:tc>
        <w:tc>
          <w:tcPr>
            <w:tcW w:w="729" w:type="pct"/>
            <w:vAlign w:val="center"/>
          </w:tcPr>
          <w:p w14:paraId="3308976B">
            <w:pPr>
              <w:jc w:val="center"/>
            </w:pPr>
          </w:p>
        </w:tc>
        <w:tc>
          <w:tcPr>
            <w:tcW w:w="823" w:type="pct"/>
            <w:vAlign w:val="center"/>
          </w:tcPr>
          <w:p w14:paraId="6BA5BDB5">
            <w:pPr>
              <w:jc w:val="center"/>
            </w:pPr>
          </w:p>
        </w:tc>
      </w:tr>
      <w:tr w14:paraId="7DF6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364" w:type="pct"/>
            <w:gridSpan w:val="3"/>
            <w:vAlign w:val="center"/>
          </w:tcPr>
          <w:p w14:paraId="50CFDEEC">
            <w:pPr>
              <w:jc w:val="center"/>
            </w:pPr>
            <w:r>
              <w:t>合计</w:t>
            </w:r>
          </w:p>
        </w:tc>
        <w:tc>
          <w:tcPr>
            <w:tcW w:w="1360" w:type="pct"/>
            <w:gridSpan w:val="2"/>
            <w:vAlign w:val="center"/>
          </w:tcPr>
          <w:p w14:paraId="51A7DFE5">
            <w:pPr>
              <w:jc w:val="center"/>
            </w:pPr>
          </w:p>
        </w:tc>
        <w:tc>
          <w:tcPr>
            <w:tcW w:w="1451" w:type="pct"/>
            <w:gridSpan w:val="2"/>
            <w:vAlign w:val="center"/>
          </w:tcPr>
          <w:p w14:paraId="30453E11">
            <w:pPr>
              <w:jc w:val="center"/>
            </w:pPr>
          </w:p>
        </w:tc>
        <w:tc>
          <w:tcPr>
            <w:tcW w:w="823" w:type="pct"/>
            <w:vAlign w:val="center"/>
          </w:tcPr>
          <w:p w14:paraId="6B6ADEE6">
            <w:pPr>
              <w:jc w:val="center"/>
            </w:pPr>
          </w:p>
        </w:tc>
      </w:tr>
    </w:tbl>
    <w:p w14:paraId="65E06D39">
      <w:pPr>
        <w:pStyle w:val="3"/>
      </w:pPr>
    </w:p>
    <w:p w14:paraId="6DCB0423"/>
    <w:p w14:paraId="206AAA27">
      <w:r>
        <w:br w:type="page"/>
      </w:r>
    </w:p>
    <w:p w14:paraId="370E6253"/>
    <w:p w14:paraId="3DDEE0EB"/>
    <w:p w14:paraId="2A677E40">
      <w:pPr>
        <w:pStyle w:val="3"/>
        <w:spacing w:line="261" w:lineRule="auto"/>
      </w:pPr>
      <w:bookmarkStart w:id="40" w:name="bookmark5"/>
      <w:bookmarkEnd w:id="40"/>
    </w:p>
    <w:p w14:paraId="5F631FC9">
      <w:bookmarkStart w:id="41" w:name="bookmark6"/>
      <w:bookmarkEnd w:id="41"/>
      <w:bookmarkStart w:id="42" w:name="_Toc306204890"/>
      <w:bookmarkStart w:id="43" w:name="_Toc4485"/>
    </w:p>
    <w:p w14:paraId="78C7473F">
      <w:pPr>
        <w:pStyle w:val="5"/>
        <w:rPr>
          <w:rFonts w:hint="eastAsia" w:ascii="宋体" w:hAnsi="宋体" w:eastAsia="宋体" w:cs="宋体"/>
          <w:b/>
          <w:sz w:val="44"/>
          <w:szCs w:val="44"/>
        </w:rPr>
      </w:pPr>
      <w:r>
        <w:rPr>
          <w:rFonts w:hint="eastAsia" w:ascii="宋体" w:hAnsi="宋体" w:eastAsia="宋体" w:cs="宋体"/>
          <w:b/>
          <w:sz w:val="44"/>
          <w:szCs w:val="44"/>
        </w:rPr>
        <w:t>第四章投标文件格式</w:t>
      </w:r>
      <w:bookmarkEnd w:id="42"/>
      <w:bookmarkEnd w:id="43"/>
    </w:p>
    <w:p w14:paraId="100524F0">
      <w:pPr>
        <w:pStyle w:val="6"/>
        <w:rPr>
          <w:rFonts w:hint="eastAsia" w:ascii="宋体" w:hAnsi="宋体" w:eastAsia="宋体" w:cs="宋体"/>
          <w:bCs w:val="0"/>
        </w:rPr>
      </w:pPr>
      <w:bookmarkStart w:id="44" w:name="_Toc9751"/>
      <w:bookmarkStart w:id="45" w:name="_Toc171743122"/>
      <w:bookmarkStart w:id="46" w:name="_Toc306204891"/>
      <w:r>
        <w:rPr>
          <w:rFonts w:hint="eastAsia" w:ascii="宋体" w:hAnsi="宋体" w:eastAsia="宋体" w:cs="宋体"/>
        </w:rPr>
        <w:t>（一）商务标</w:t>
      </w:r>
      <w:bookmarkEnd w:id="44"/>
      <w:bookmarkEnd w:id="45"/>
      <w:bookmarkEnd w:id="46"/>
    </w:p>
    <w:p w14:paraId="3066D824">
      <w:pPr>
        <w:widowControl w:val="0"/>
        <w:kinsoku/>
        <w:autoSpaceDE/>
        <w:autoSpaceDN/>
        <w:spacing w:before="48" w:beforeLines="20" w:after="48" w:afterLines="20" w:line="540" w:lineRule="exact"/>
        <w:jc w:val="both"/>
        <w:textAlignment w:val="auto"/>
        <w:rPr>
          <w:rFonts w:hint="eastAsia" w:ascii="宋体" w:hAnsi="宋体" w:eastAsia="宋体" w:cs="宋体"/>
          <w:b/>
          <w:snapToGrid/>
          <w:sz w:val="24"/>
          <w:szCs w:val="20"/>
          <w:lang w:eastAsia="zh-CN"/>
        </w:rPr>
      </w:pPr>
      <w:r>
        <w:rPr>
          <w:rFonts w:hint="eastAsia" w:ascii="宋体" w:hAnsi="宋体" w:eastAsia="宋体" w:cs="宋体"/>
          <w:snapToGrid/>
          <w:sz w:val="24"/>
          <w:szCs w:val="20"/>
          <w:lang w:eastAsia="zh-CN"/>
        </w:rPr>
        <w:t>封面格式</w:t>
      </w:r>
    </w:p>
    <w:p w14:paraId="747EA575">
      <w:pPr>
        <w:spacing w:before="317" w:line="220" w:lineRule="auto"/>
        <w:ind w:left="3460"/>
        <w:rPr>
          <w:rFonts w:hint="eastAsia" w:ascii="宋体" w:hAnsi="宋体" w:eastAsia="宋体" w:cs="宋体"/>
          <w:sz w:val="24"/>
          <w:szCs w:val="24"/>
        </w:rPr>
      </w:pPr>
      <w:r>
        <mc:AlternateContent>
          <mc:Choice Requires="wps">
            <w:drawing>
              <wp:anchor distT="0" distB="0" distL="114300" distR="114300" simplePos="0" relativeHeight="251662336" behindDoc="1" locked="0" layoutInCell="1" allowOverlap="1">
                <wp:simplePos x="0" y="0"/>
                <wp:positionH relativeFrom="column">
                  <wp:posOffset>2186940</wp:posOffset>
                </wp:positionH>
                <wp:positionV relativeFrom="paragraph">
                  <wp:posOffset>353695</wp:posOffset>
                </wp:positionV>
                <wp:extent cx="918210" cy="7620"/>
                <wp:effectExtent l="0" t="0" r="0" b="0"/>
                <wp:wrapNone/>
                <wp:docPr id="2" name="任意多边形 2"/>
                <wp:cNvGraphicFramePr/>
                <a:graphic xmlns:a="http://schemas.openxmlformats.org/drawingml/2006/main">
                  <a:graphicData uri="http://schemas.microsoft.com/office/word/2010/wordprocessingShape">
                    <wps:wsp>
                      <wps:cNvSpPr/>
                      <wps:spPr>
                        <a:xfrm>
                          <a:off x="0" y="0"/>
                          <a:ext cx="918210" cy="7620"/>
                        </a:xfrm>
                        <a:custGeom>
                          <a:avLst/>
                          <a:gdLst/>
                          <a:ahLst/>
                          <a:cxnLst/>
                          <a:rect l="0" t="0" r="0" b="0"/>
                          <a:pathLst>
                            <a:path w="1446" h="12">
                              <a:moveTo>
                                <a:pt x="0" y="11"/>
                              </a:moveTo>
                              <a:lnTo>
                                <a:pt x="1445" y="11"/>
                              </a:lnTo>
                              <a:lnTo>
                                <a:pt x="1445" y="0"/>
                              </a:lnTo>
                              <a:lnTo>
                                <a:pt x="0" y="0"/>
                              </a:lnTo>
                              <a:lnTo>
                                <a:pt x="0" y="11"/>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72.2pt;margin-top:27.85pt;height:0.6pt;width:72.3pt;z-index:-251654144;mso-width-relative:page;mso-height-relative:page;" fillcolor="#000000" filled="t" stroked="f" coordsize="1446,12" o:gfxdata="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xMy9DZAAAA&#10;CQEAAA8AAAAAAAAAAQAgAAAAIgAAAGRycy9kb3ducmV2LnhtbFBLAQIUABQAAAAIAIdO4kCrSIQH&#10;HAIAAJwEAAAOAAAAAAAAAAEAIAAAACgBAABkcnMvZTJvRG9jLnhtbFBLBQYAAAAABgAGAFkBAAC2&#10;BQAAAAA=&#10;" path="m0,11l1445,11,1445,0,0,0,0,11xe">
                <v:fill on="t" focussize="0,0"/>
                <v:stroke on="f"/>
                <v:imagedata o:title=""/>
                <o:lock v:ext="edit" aspectratio="f"/>
              </v:shape>
            </w:pict>
          </mc:Fallback>
        </mc:AlternateContent>
      </w:r>
      <w:r>
        <w:rPr>
          <w:rFonts w:ascii="宋体" w:hAnsi="宋体" w:eastAsia="宋体" w:cs="宋体"/>
          <w:b/>
          <w:bCs/>
          <w:spacing w:val="-7"/>
          <w:sz w:val="24"/>
          <w:szCs w:val="24"/>
        </w:rPr>
        <w:t>（项目名称）</w:t>
      </w:r>
    </w:p>
    <w:p w14:paraId="399E652D">
      <w:pPr>
        <w:widowControl w:val="0"/>
        <w:kinsoku/>
        <w:autoSpaceDE/>
        <w:autoSpaceDN/>
        <w:spacing w:before="48" w:beforeLines="20" w:after="48" w:afterLines="20" w:line="540" w:lineRule="exact"/>
        <w:ind w:firstLine="952" w:firstLineChars="395"/>
        <w:jc w:val="both"/>
        <w:textAlignment w:val="auto"/>
        <w:rPr>
          <w:rFonts w:hint="eastAsia" w:ascii="宋体" w:hAnsi="宋体" w:eastAsia="宋体" w:cs="宋体"/>
          <w:b/>
          <w:snapToGrid/>
          <w:sz w:val="24"/>
          <w:szCs w:val="20"/>
          <w:u w:val="single"/>
          <w:lang w:eastAsia="zh-CN"/>
        </w:rPr>
      </w:pPr>
    </w:p>
    <w:p w14:paraId="0C9C49F0">
      <w:pPr>
        <w:pStyle w:val="9"/>
        <w:adjustRightInd w:val="0"/>
        <w:snapToGrid w:val="0"/>
        <w:spacing w:before="48" w:beforeLines="20" w:after="48" w:afterLines="20" w:line="540" w:lineRule="exact"/>
        <w:ind w:left="0" w:leftChars="0"/>
        <w:rPr>
          <w:rFonts w:hint="eastAsia" w:hAnsi="宋体" w:cs="宋体"/>
          <w:b/>
        </w:rPr>
      </w:pPr>
    </w:p>
    <w:p w14:paraId="62CD46D0">
      <w:pPr>
        <w:pStyle w:val="9"/>
        <w:adjustRightInd w:val="0"/>
        <w:snapToGrid w:val="0"/>
        <w:spacing w:before="48" w:beforeLines="20" w:after="48" w:afterLines="20" w:line="540" w:lineRule="exact"/>
        <w:ind w:left="0" w:leftChars="0"/>
        <w:rPr>
          <w:rFonts w:hint="eastAsia" w:hAnsi="宋体" w:cs="宋体"/>
          <w:b/>
          <w:sz w:val="52"/>
        </w:rPr>
      </w:pPr>
    </w:p>
    <w:p w14:paraId="78229677">
      <w:pPr>
        <w:widowControl w:val="0"/>
        <w:spacing w:before="48" w:beforeLines="20" w:after="48" w:afterLines="20" w:line="540" w:lineRule="exact"/>
        <w:ind w:left="63" w:leftChars="30" w:right="63" w:rightChars="30"/>
        <w:jc w:val="center"/>
        <w:rPr>
          <w:rFonts w:hint="eastAsia" w:ascii="宋体" w:hAnsi="宋体" w:eastAsia="宋体" w:cs="宋体"/>
          <w:sz w:val="84"/>
          <w:lang w:eastAsia="zh-CN"/>
        </w:rPr>
      </w:pPr>
      <w:r>
        <w:rPr>
          <w:rFonts w:hint="eastAsia" w:ascii="宋体" w:hAnsi="宋体" w:eastAsia="宋体" w:cs="宋体"/>
          <w:sz w:val="52"/>
          <w:lang w:eastAsia="zh-CN"/>
        </w:rPr>
        <w:t>投标文件</w:t>
      </w:r>
    </w:p>
    <w:p w14:paraId="61F34B90">
      <w:pPr>
        <w:widowControl w:val="0"/>
        <w:spacing w:before="48" w:beforeLines="20" w:after="48" w:afterLines="20" w:line="540" w:lineRule="exact"/>
        <w:ind w:left="63" w:leftChars="30" w:right="63" w:rightChars="30"/>
        <w:jc w:val="center"/>
        <w:rPr>
          <w:rFonts w:hint="eastAsia" w:ascii="宋体" w:hAnsi="宋体" w:eastAsia="宋体" w:cs="宋体"/>
          <w:sz w:val="24"/>
          <w:lang w:eastAsia="zh-CN"/>
        </w:rPr>
      </w:pPr>
    </w:p>
    <w:p w14:paraId="4DA6C8BA">
      <w:pPr>
        <w:widowControl w:val="0"/>
        <w:spacing w:before="48" w:beforeLines="20" w:after="48" w:afterLines="20" w:line="540" w:lineRule="exact"/>
        <w:ind w:left="63" w:leftChars="30" w:right="63" w:rightChars="30"/>
        <w:jc w:val="center"/>
        <w:rPr>
          <w:rFonts w:hint="eastAsia" w:ascii="宋体" w:hAnsi="宋体" w:eastAsia="宋体" w:cs="宋体"/>
          <w:sz w:val="24"/>
          <w:lang w:eastAsia="zh-CN"/>
        </w:rPr>
      </w:pPr>
    </w:p>
    <w:p w14:paraId="126F5340">
      <w:pPr>
        <w:widowControl w:val="0"/>
        <w:spacing w:before="48" w:beforeLines="20" w:after="48" w:afterLines="20" w:line="540" w:lineRule="exact"/>
        <w:ind w:left="63" w:leftChars="30" w:right="63" w:rightChars="30"/>
        <w:jc w:val="center"/>
        <w:rPr>
          <w:rFonts w:hint="eastAsia" w:ascii="宋体" w:hAnsi="宋体" w:eastAsia="宋体" w:cs="宋体"/>
          <w:sz w:val="24"/>
          <w:lang w:eastAsia="zh-CN"/>
        </w:rPr>
      </w:pPr>
    </w:p>
    <w:p w14:paraId="53D98342">
      <w:pPr>
        <w:widowControl w:val="0"/>
        <w:spacing w:before="48" w:beforeLines="20" w:after="48" w:afterLines="20" w:line="540" w:lineRule="exact"/>
        <w:ind w:left="63" w:leftChars="30" w:right="63" w:rightChars="30"/>
        <w:jc w:val="center"/>
        <w:rPr>
          <w:rFonts w:hint="eastAsia" w:ascii="宋体" w:hAnsi="宋体" w:eastAsia="宋体" w:cs="宋体"/>
          <w:sz w:val="24"/>
          <w:lang w:eastAsia="zh-CN"/>
        </w:rPr>
      </w:pPr>
    </w:p>
    <w:p w14:paraId="5A8D5FFB">
      <w:pPr>
        <w:widowControl w:val="0"/>
        <w:spacing w:before="48" w:beforeLines="20" w:after="48" w:afterLines="20" w:line="540" w:lineRule="exact"/>
        <w:ind w:left="63" w:leftChars="30" w:right="63" w:rightChars="30"/>
        <w:jc w:val="center"/>
        <w:rPr>
          <w:rFonts w:hint="eastAsia" w:ascii="宋体" w:hAnsi="宋体" w:eastAsia="宋体" w:cs="宋体"/>
          <w:sz w:val="24"/>
          <w:lang w:eastAsia="zh-CN"/>
        </w:rPr>
      </w:pPr>
    </w:p>
    <w:p w14:paraId="7CA7F453">
      <w:pPr>
        <w:pStyle w:val="10"/>
        <w:adjustRightInd w:val="0"/>
        <w:snapToGrid w:val="0"/>
        <w:spacing w:before="48" w:beforeLines="20" w:after="48" w:afterLines="20" w:line="540" w:lineRule="exact"/>
        <w:ind w:left="130" w:leftChars="62" w:firstLine="1205" w:firstLineChars="500"/>
        <w:rPr>
          <w:rFonts w:hint="eastAsia" w:hAnsi="宋体" w:cs="宋体"/>
          <w:b/>
          <w:bCs/>
          <w:u w:val="single"/>
        </w:rPr>
      </w:pPr>
    </w:p>
    <w:p w14:paraId="525513AE">
      <w:pPr>
        <w:pStyle w:val="10"/>
        <w:adjustRightInd w:val="0"/>
        <w:snapToGrid w:val="0"/>
        <w:spacing w:before="48" w:beforeLines="20" w:after="48" w:afterLines="20" w:line="540" w:lineRule="exact"/>
        <w:ind w:left="130" w:leftChars="62" w:firstLine="1205" w:firstLineChars="500"/>
        <w:rPr>
          <w:rFonts w:hint="eastAsia" w:hAnsi="宋体" w:cs="宋体"/>
          <w:b/>
          <w:bCs/>
        </w:rPr>
      </w:pPr>
      <w:r>
        <w:rPr>
          <w:rFonts w:hint="eastAsia" w:hAnsi="宋体" w:cs="宋体"/>
          <w:b/>
          <w:bCs/>
        </w:rPr>
        <w:t>投标文件内容：</w:t>
      </w:r>
      <w:r>
        <w:rPr>
          <w:rFonts w:hint="eastAsia" w:hAnsi="宋体" w:cs="宋体"/>
          <w:b/>
          <w:bCs/>
          <w:u w:val="single"/>
        </w:rPr>
        <w:t>投标文件商务标</w:t>
      </w:r>
    </w:p>
    <w:p w14:paraId="24E0DA0C">
      <w:pPr>
        <w:pStyle w:val="10"/>
        <w:adjustRightInd w:val="0"/>
        <w:snapToGrid w:val="0"/>
        <w:spacing w:before="48" w:beforeLines="20" w:after="48" w:afterLines="20" w:line="540" w:lineRule="exact"/>
        <w:ind w:left="145" w:leftChars="69" w:firstLine="1205" w:firstLineChars="500"/>
        <w:rPr>
          <w:rFonts w:hint="eastAsia" w:hAnsi="宋体" w:cs="宋体"/>
          <w:b/>
          <w:bCs/>
          <w:u w:val="single"/>
        </w:rPr>
      </w:pPr>
      <w:r>
        <w:rPr>
          <w:rFonts w:hint="eastAsia" w:hAnsi="宋体" w:cs="宋体"/>
          <w:b/>
          <w:bCs/>
        </w:rPr>
        <w:t>投标人：</w:t>
      </w:r>
      <w:r>
        <w:rPr>
          <w:rFonts w:hint="eastAsia" w:hAnsi="宋体" w:cs="宋体"/>
          <w:b/>
          <w:bCs/>
          <w:u w:val="single"/>
        </w:rPr>
        <w:t>（盖公章）</w:t>
      </w:r>
    </w:p>
    <w:p w14:paraId="6119BE0C">
      <w:pPr>
        <w:pStyle w:val="10"/>
        <w:adjustRightInd w:val="0"/>
        <w:snapToGrid w:val="0"/>
        <w:spacing w:before="48" w:beforeLines="20" w:after="48" w:afterLines="20" w:line="540" w:lineRule="exact"/>
        <w:ind w:left="147" w:leftChars="70" w:firstLine="1205" w:firstLineChars="500"/>
        <w:rPr>
          <w:rFonts w:hint="eastAsia" w:hAnsi="宋体" w:cs="宋体"/>
          <w:b/>
          <w:bCs/>
          <w:u w:val="single"/>
        </w:rPr>
      </w:pPr>
      <w:r>
        <w:rPr>
          <w:rFonts w:hint="eastAsia" w:hAnsi="宋体" w:cs="宋体"/>
          <w:b/>
          <w:bCs/>
        </w:rPr>
        <w:t>法定代表人或其委托代理人：</w:t>
      </w:r>
      <w:r>
        <w:rPr>
          <w:rFonts w:hint="eastAsia" w:hAnsi="宋体" w:cs="宋体"/>
          <w:b/>
          <w:bCs/>
          <w:u w:val="single"/>
        </w:rPr>
        <w:t>（盖章）</w:t>
      </w:r>
    </w:p>
    <w:p w14:paraId="339CBB56">
      <w:pPr>
        <w:widowControl w:val="0"/>
        <w:kinsoku/>
        <w:autoSpaceDE/>
        <w:autoSpaceDN/>
        <w:spacing w:before="48" w:beforeLines="20" w:after="48" w:afterLines="20" w:line="540" w:lineRule="exact"/>
        <w:jc w:val="both"/>
        <w:textAlignment w:val="auto"/>
        <w:rPr>
          <w:rFonts w:hint="eastAsia" w:ascii="宋体" w:hAnsi="宋体" w:eastAsia="宋体" w:cs="宋体"/>
          <w:b/>
          <w:snapToGrid/>
          <w:sz w:val="28"/>
          <w:szCs w:val="20"/>
          <w:lang w:eastAsia="zh-CN"/>
        </w:rPr>
      </w:pPr>
    </w:p>
    <w:p w14:paraId="1ECB9814">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r>
        <w:rPr>
          <w:rFonts w:hint="eastAsia" w:ascii="宋体" w:hAnsi="宋体" w:eastAsia="宋体" w:cs="宋体"/>
          <w:b/>
          <w:snapToGrid/>
          <w:sz w:val="24"/>
          <w:szCs w:val="20"/>
          <w:lang w:eastAsia="zh-CN"/>
        </w:rPr>
        <w:t>年月日</w:t>
      </w:r>
    </w:p>
    <w:p w14:paraId="0395F5D6">
      <w:pPr>
        <w:widowControl w:val="0"/>
        <w:kinsoku/>
        <w:autoSpaceDE/>
        <w:autoSpaceDN/>
        <w:spacing w:before="48" w:beforeLines="20" w:after="48" w:afterLines="20" w:line="540" w:lineRule="exact"/>
        <w:jc w:val="both"/>
        <w:textAlignment w:val="auto"/>
        <w:rPr>
          <w:rFonts w:hint="eastAsia" w:ascii="宋体" w:hAnsi="宋体" w:eastAsia="宋体" w:cs="宋体"/>
          <w:b/>
          <w:snapToGrid/>
          <w:sz w:val="30"/>
          <w:szCs w:val="20"/>
          <w:lang w:eastAsia="zh-CN"/>
        </w:rPr>
      </w:pPr>
    </w:p>
    <w:p w14:paraId="2B04B98F">
      <w:pPr>
        <w:rPr>
          <w:rFonts w:hint="eastAsia" w:ascii="宋体" w:hAnsi="宋体" w:eastAsia="宋体" w:cs="宋体"/>
          <w:b/>
          <w:snapToGrid/>
          <w:sz w:val="30"/>
          <w:szCs w:val="20"/>
          <w:lang w:eastAsia="zh-CN"/>
        </w:rPr>
      </w:pPr>
      <w:r>
        <w:rPr>
          <w:rFonts w:hint="eastAsia" w:ascii="宋体" w:hAnsi="宋体" w:eastAsia="宋体" w:cs="宋体"/>
          <w:b/>
          <w:snapToGrid/>
          <w:sz w:val="30"/>
          <w:szCs w:val="20"/>
          <w:lang w:eastAsia="zh-CN"/>
        </w:rPr>
        <w:br w:type="page"/>
      </w:r>
    </w:p>
    <w:p w14:paraId="6F4F59DE">
      <w:pPr>
        <w:pStyle w:val="11"/>
        <w:jc w:val="center"/>
        <w:rPr>
          <w:rFonts w:hint="eastAsia" w:hAnsi="宋体" w:cs="宋体"/>
          <w:b/>
          <w:sz w:val="28"/>
          <w:szCs w:val="28"/>
        </w:rPr>
      </w:pPr>
      <w:bookmarkStart w:id="47" w:name="_Toc171581550"/>
      <w:bookmarkStart w:id="48" w:name="_Toc171581370"/>
      <w:bookmarkStart w:id="49" w:name="_Toc17197761"/>
      <w:bookmarkStart w:id="50" w:name="_Toc171741993"/>
      <w:r>
        <w:rPr>
          <w:rFonts w:hint="eastAsia" w:hAnsi="宋体" w:cs="宋体"/>
          <w:b/>
          <w:sz w:val="28"/>
          <w:szCs w:val="28"/>
        </w:rPr>
        <w:t>一、投标函</w:t>
      </w:r>
      <w:bookmarkEnd w:id="47"/>
      <w:bookmarkEnd w:id="48"/>
      <w:bookmarkEnd w:id="49"/>
      <w:bookmarkEnd w:id="50"/>
    </w:p>
    <w:p w14:paraId="52379F52">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致：</w:t>
      </w:r>
      <w:r>
        <w:rPr>
          <w:rFonts w:hint="eastAsia" w:ascii="宋体" w:hAnsi="宋体" w:eastAsia="宋体" w:cs="宋体"/>
          <w:snapToGrid/>
          <w:sz w:val="24"/>
          <w:szCs w:val="20"/>
          <w:u w:val="single"/>
          <w:lang w:eastAsia="zh-CN"/>
        </w:rPr>
        <w:t>{招标人名称}</w:t>
      </w:r>
    </w:p>
    <w:p w14:paraId="3AE7E86D">
      <w:pPr>
        <w:widowControl w:val="0"/>
        <w:tabs>
          <w:tab w:val="left" w:pos="7560"/>
        </w:tabs>
        <w:kinsoku/>
        <w:autoSpaceDE/>
        <w:autoSpaceDN/>
        <w:spacing w:before="48" w:beforeLines="20" w:after="48" w:afterLines="20"/>
        <w:ind w:firstLine="480" w:firstLineChars="200"/>
        <w:jc w:val="both"/>
        <w:textAlignment w:val="auto"/>
        <w:rPr>
          <w:rFonts w:hint="eastAsia" w:ascii="宋体" w:hAnsi="宋体" w:eastAsia="宋体" w:cs="宋体"/>
          <w:snapToGrid/>
          <w:sz w:val="24"/>
          <w:szCs w:val="20"/>
          <w:highlight w:val="none"/>
          <w:u w:val="single"/>
          <w:lang w:eastAsia="zh-CN"/>
        </w:rPr>
      </w:pPr>
      <w:r>
        <w:rPr>
          <w:rFonts w:hint="eastAsia" w:ascii="宋体" w:hAnsi="宋体" w:eastAsia="宋体" w:cs="宋体"/>
          <w:snapToGrid/>
          <w:sz w:val="24"/>
          <w:szCs w:val="20"/>
          <w:lang w:eastAsia="zh-CN"/>
        </w:rPr>
        <w:t>1、根据你方招标工程项目编号为</w:t>
      </w:r>
      <w:r>
        <w:rPr>
          <w:rFonts w:hint="eastAsia" w:ascii="宋体" w:hAnsi="宋体" w:eastAsia="宋体" w:cs="宋体"/>
          <w:snapToGrid/>
          <w:sz w:val="24"/>
          <w:szCs w:val="20"/>
          <w:u w:val="single"/>
          <w:lang w:eastAsia="zh-CN"/>
        </w:rPr>
        <w:t>{项目编号}</w:t>
      </w:r>
      <w:r>
        <w:rPr>
          <w:rFonts w:hint="eastAsia" w:ascii="宋体" w:hAnsi="宋体" w:eastAsia="宋体" w:cs="宋体"/>
          <w:snapToGrid/>
          <w:sz w:val="24"/>
          <w:szCs w:val="20"/>
          <w:lang w:eastAsia="zh-CN"/>
        </w:rPr>
        <w:t>的</w:t>
      </w:r>
      <w:r>
        <w:rPr>
          <w:rFonts w:hint="eastAsia" w:ascii="宋体" w:hAnsi="宋体" w:eastAsia="宋体" w:cs="宋体"/>
          <w:snapToGrid/>
          <w:sz w:val="24"/>
          <w:szCs w:val="20"/>
          <w:u w:val="single"/>
          <w:lang w:eastAsia="zh-CN"/>
        </w:rPr>
        <w:t>{招标工程项目名称}</w:t>
      </w:r>
      <w:r>
        <w:rPr>
          <w:rFonts w:hint="eastAsia" w:ascii="宋体" w:hAnsi="宋体" w:eastAsia="宋体" w:cs="宋体"/>
          <w:snapToGrid/>
          <w:sz w:val="24"/>
          <w:szCs w:val="20"/>
          <w:lang w:eastAsia="zh-CN"/>
        </w:rPr>
        <w:t>工程招标文件，遵照《中华人民共和国招标投标法》等有关规定，经踏勘项目现场和研究上述招标文件的投标须知、合同条款、图纸和工程建设技术标准及其他有关文件后，我方接受上述文件要求，并对工程量清单及控制价无异议。</w:t>
      </w:r>
      <w:r>
        <w:rPr>
          <w:rFonts w:ascii="宋体" w:hAnsi="宋体" w:eastAsia="宋体" w:cs="宋体"/>
          <w:snapToGrid/>
          <w:spacing w:val="-1"/>
          <w:sz w:val="24"/>
          <w:szCs w:val="24"/>
          <w:lang w:eastAsia="zh-CN"/>
        </w:rPr>
        <w:t>我方愿以</w:t>
      </w:r>
      <w:r>
        <w:rPr>
          <w:rFonts w:ascii="宋体" w:hAnsi="宋体" w:eastAsia="宋体" w:cs="宋体"/>
          <w:snapToGrid/>
          <w:spacing w:val="-1"/>
          <w:sz w:val="24"/>
          <w:szCs w:val="24"/>
          <w:u w:val="single"/>
          <w:lang w:eastAsia="zh-CN"/>
        </w:rPr>
        <w:t>百分之</w:t>
      </w:r>
      <w:r>
        <w:rPr>
          <w:rFonts w:ascii="宋体" w:hAnsi="宋体" w:eastAsia="宋体" w:cs="宋体"/>
          <w:snapToGrid/>
          <w:spacing w:val="-1"/>
          <w:sz w:val="24"/>
          <w:szCs w:val="24"/>
          <w:lang w:eastAsia="zh-CN"/>
        </w:rPr>
        <w:t>（小写</w:t>
      </w:r>
      <w:r>
        <w:rPr>
          <w:rFonts w:ascii="宋体" w:hAnsi="宋体" w:eastAsia="宋体" w:cs="宋体"/>
          <w:snapToGrid/>
          <w:spacing w:val="-1"/>
          <w:sz w:val="24"/>
          <w:szCs w:val="24"/>
          <w:u w:val="single"/>
          <w:lang w:eastAsia="zh-CN"/>
        </w:rPr>
        <w:t>：%</w:t>
      </w:r>
      <w:r>
        <w:rPr>
          <w:rFonts w:ascii="宋体" w:hAnsi="宋体" w:eastAsia="宋体" w:cs="宋体"/>
          <w:snapToGrid/>
          <w:spacing w:val="-1"/>
          <w:sz w:val="24"/>
          <w:szCs w:val="24"/>
          <w:lang w:eastAsia="zh-CN"/>
        </w:rPr>
        <w:t>）投标总报价（费率</w:t>
      </w:r>
      <w:r>
        <w:rPr>
          <w:rFonts w:ascii="宋体" w:hAnsi="宋体" w:eastAsia="宋体" w:cs="宋体"/>
          <w:snapToGrid/>
          <w:spacing w:val="-52"/>
          <w:sz w:val="24"/>
          <w:szCs w:val="24"/>
          <w:lang w:eastAsia="zh-CN"/>
        </w:rPr>
        <w:t>）</w:t>
      </w:r>
      <w:r>
        <w:rPr>
          <w:rFonts w:hint="eastAsia" w:ascii="宋体" w:hAnsi="宋体" w:eastAsia="宋体" w:cs="宋体"/>
          <w:snapToGrid/>
          <w:sz w:val="24"/>
          <w:szCs w:val="20"/>
          <w:lang w:eastAsia="zh-CN"/>
        </w:rPr>
        <w:t>，</w:t>
      </w:r>
      <w:r>
        <w:rPr>
          <w:rFonts w:hint="eastAsia" w:ascii="宋体" w:hAnsi="宋体" w:eastAsia="宋体" w:cs="宋体"/>
          <w:bCs/>
          <w:snapToGrid/>
          <w:sz w:val="24"/>
          <w:szCs w:val="20"/>
          <w:lang w:eastAsia="zh-CN"/>
        </w:rPr>
        <w:t>并承诺按本招标文件、施工图纸、合同条款和工程建设技术标准的条件、</w:t>
      </w:r>
      <w:r>
        <w:rPr>
          <w:rFonts w:hint="eastAsia" w:ascii="宋体" w:hAnsi="宋体" w:eastAsia="宋体" w:cs="宋体"/>
          <w:snapToGrid/>
          <w:sz w:val="24"/>
          <w:szCs w:val="20"/>
          <w:lang w:eastAsia="zh-CN"/>
        </w:rPr>
        <w:t>承担</w:t>
      </w:r>
      <w:r>
        <w:rPr>
          <w:rFonts w:hint="eastAsia" w:ascii="宋体" w:hAnsi="宋体" w:eastAsia="宋体" w:cs="宋体"/>
          <w:bCs/>
          <w:snapToGrid/>
          <w:sz w:val="24"/>
          <w:szCs w:val="20"/>
          <w:lang w:eastAsia="zh-CN"/>
        </w:rPr>
        <w:t>上述工程</w:t>
      </w:r>
      <w:r>
        <w:rPr>
          <w:rFonts w:hint="eastAsia" w:ascii="宋体" w:hAnsi="宋体" w:eastAsia="宋体" w:cs="宋体"/>
          <w:bCs/>
          <w:snapToGrid/>
          <w:sz w:val="24"/>
          <w:szCs w:val="20"/>
          <w:highlight w:val="none"/>
          <w:lang w:eastAsia="zh-CN"/>
        </w:rPr>
        <w:t>的设计、施工、竣工，并承担任何质量缺陷保修责任。</w:t>
      </w:r>
    </w:p>
    <w:p w14:paraId="6DCC7D0E">
      <w:pPr>
        <w:pStyle w:val="9"/>
        <w:adjustRightInd w:val="0"/>
        <w:snapToGrid w:val="0"/>
        <w:spacing w:before="48" w:beforeLines="20" w:after="48" w:afterLines="20"/>
        <w:ind w:left="0" w:leftChars="0" w:firstLine="420" w:firstLineChars="175"/>
        <w:rPr>
          <w:rFonts w:hint="eastAsia" w:hAnsi="宋体" w:cs="宋体"/>
          <w:highlight w:val="none"/>
        </w:rPr>
      </w:pPr>
      <w:r>
        <w:rPr>
          <w:rFonts w:hint="eastAsia" w:hAnsi="宋体" w:cs="宋体"/>
          <w:highlight w:val="none"/>
        </w:rPr>
        <w:t>2、我方已详细审核并确认全部招标文件及有关附件，充分理解投标价格不得低于企业个别成本有关规定。我方经成本核算，所填报的投标报价不低于企业个别成本。</w:t>
      </w:r>
    </w:p>
    <w:p w14:paraId="58E66BA9">
      <w:pPr>
        <w:pStyle w:val="9"/>
        <w:adjustRightInd w:val="0"/>
        <w:snapToGrid w:val="0"/>
        <w:spacing w:before="48" w:beforeLines="20" w:after="48" w:afterLines="20"/>
        <w:rPr>
          <w:rFonts w:hint="eastAsia" w:hAnsi="宋体" w:cs="宋体"/>
          <w:highlight w:val="none"/>
        </w:rPr>
      </w:pPr>
      <w:r>
        <w:rPr>
          <w:rFonts w:hint="eastAsia" w:hAnsi="宋体" w:cs="宋体"/>
          <w:highlight w:val="none"/>
        </w:rPr>
        <w:t>3、我方承认投标函附录是我方投标函的组成部分。</w:t>
      </w:r>
    </w:p>
    <w:p w14:paraId="1ABD09B0">
      <w:pPr>
        <w:pStyle w:val="9"/>
        <w:adjustRightInd w:val="0"/>
        <w:snapToGrid w:val="0"/>
        <w:spacing w:before="48" w:beforeLines="20" w:after="48" w:afterLines="20"/>
        <w:ind w:left="0" w:leftChars="0" w:firstLine="420" w:firstLineChars="175"/>
        <w:rPr>
          <w:rFonts w:hint="eastAsia" w:hAnsi="宋体" w:cs="宋体"/>
          <w:highlight w:val="none"/>
        </w:rPr>
      </w:pPr>
      <w:r>
        <w:rPr>
          <w:rFonts w:hint="eastAsia" w:hAnsi="宋体" w:cs="宋体"/>
          <w:highlight w:val="none"/>
        </w:rPr>
        <w:t>4、一旦我方中标，我方保证按</w:t>
      </w:r>
      <w:r>
        <w:rPr>
          <w:rFonts w:hint="eastAsia" w:hAnsi="宋体" w:cs="宋体"/>
          <w:highlight w:val="none"/>
          <w:u w:val="single"/>
        </w:rPr>
        <w:t>　　　　　　　　</w:t>
      </w:r>
      <w:r>
        <w:rPr>
          <w:rFonts w:hint="eastAsia" w:hAnsi="宋体" w:cs="宋体"/>
          <w:highlight w:val="none"/>
        </w:rPr>
        <w:t>日历天的工期和招标文件或业主开工令的要求如期开工、竣工并移交整个工程。</w:t>
      </w:r>
    </w:p>
    <w:p w14:paraId="61296FDD">
      <w:pPr>
        <w:spacing w:before="58"/>
        <w:ind w:left="448"/>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5、一旦我方中标，我方保证质量达到以下标准：</w:t>
      </w:r>
    </w:p>
    <w:p w14:paraId="0DB563B4">
      <w:pPr>
        <w:spacing w:before="318"/>
        <w:ind w:left="23" w:right="119" w:firstLine="424"/>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5.1设计要求的质量标准：符合现行国家、地方及行业相关设计规范要求，</w:t>
      </w:r>
      <w:r>
        <w:rPr>
          <w:rFonts w:ascii="宋体" w:hAnsi="宋体" w:eastAsia="宋体" w:cs="宋体"/>
          <w:spacing w:val="-6"/>
          <w:sz w:val="24"/>
          <w:szCs w:val="24"/>
          <w:highlight w:val="none"/>
          <w:lang w:eastAsia="zh-CN"/>
        </w:rPr>
        <w:t>确保通过有关部门的审查；</w:t>
      </w:r>
    </w:p>
    <w:p w14:paraId="02BEB1E2">
      <w:pPr>
        <w:spacing w:before="59"/>
        <w:ind w:left="448"/>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5.2采购要求的质量标准：合格；</w:t>
      </w:r>
    </w:p>
    <w:p w14:paraId="68BAD522">
      <w:pPr>
        <w:spacing w:before="318"/>
        <w:ind w:left="448"/>
        <w:rPr>
          <w:rFonts w:hint="eastAsia" w:ascii="宋体" w:hAnsi="宋体" w:eastAsia="宋体" w:cs="宋体"/>
          <w:spacing w:val="-9"/>
          <w:sz w:val="24"/>
          <w:szCs w:val="24"/>
          <w:highlight w:val="none"/>
          <w:lang w:eastAsia="zh-CN"/>
        </w:rPr>
      </w:pPr>
      <w:r>
        <w:rPr>
          <w:rFonts w:ascii="宋体" w:hAnsi="宋体" w:eastAsia="宋体" w:cs="宋体"/>
          <w:spacing w:val="-8"/>
          <w:sz w:val="24"/>
          <w:szCs w:val="24"/>
          <w:highlight w:val="none"/>
          <w:lang w:eastAsia="zh-CN"/>
        </w:rPr>
        <w:t>5.3施工要求的质量标准：满足国家、省市行业等相关要求，达到</w:t>
      </w:r>
      <w:r>
        <w:rPr>
          <w:rFonts w:ascii="宋体" w:hAnsi="宋体" w:eastAsia="宋体" w:cs="宋体"/>
          <w:spacing w:val="-9"/>
          <w:sz w:val="24"/>
          <w:szCs w:val="24"/>
          <w:highlight w:val="none"/>
          <w:lang w:eastAsia="zh-CN"/>
        </w:rPr>
        <w:t>合格标准；</w:t>
      </w:r>
    </w:p>
    <w:p w14:paraId="628F75BC">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6、一旦我方中标，我方保证投标文件中承诺的项目管理班子及施工机械设备到位，并按投标文件中的施工组织设计组织施工。</w:t>
      </w:r>
    </w:p>
    <w:p w14:paraId="34A48BDB">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7、一旦我方中标，我方保证用于本工程的主要材料、设备，不低于招标文件规定和投标文件承诺的合格产品，并在使用之前经建设、监理、设计单位确认后使用。</w:t>
      </w:r>
    </w:p>
    <w:p w14:paraId="2796333E">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8、一旦我方中标，我方保证在规定的时间内由我方法定代表人亲自签订合同或其授权委托代理人签订合同以及及时进场施工，并认真履行合同和其它各项承诺。</w:t>
      </w:r>
    </w:p>
    <w:p w14:paraId="48388D77">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9、一旦我方中标，我方保证在规定的时间内按招标文件规定的方式、金额向招标人提交履约担保。</w:t>
      </w:r>
    </w:p>
    <w:p w14:paraId="3C97F40F">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10、我方同意所提交的投标文件在招标文件的投标须知中规定的投标有效期内有效，在此期间内如果中标，我方将受此约束。</w:t>
      </w:r>
    </w:p>
    <w:p w14:paraId="2C7AB785">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11、一旦我方中标，</w:t>
      </w:r>
      <w:r>
        <w:rPr>
          <w:rFonts w:hint="eastAsia" w:hAnsi="宋体" w:cs="宋体"/>
          <w:szCs w:val="24"/>
        </w:rPr>
        <w:t>我方保证自工程开工之日起对投标文件中所报项目经理、技术负责人、安全员、质量员、施工员采用“IFA”(人脸识别)系统进行考勤、考核。</w:t>
      </w:r>
    </w:p>
    <w:p w14:paraId="7ADF3B82">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12、除非另外达成协议并生效，你方的中标通知书和本投标文件以及招标文件、招标文件澄清、修改通知、补充文件将成为约束双方的合同文件的组成部分。</w:t>
      </w:r>
    </w:p>
    <w:p w14:paraId="60FAF465">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13、我方将与本投标函一起，提交人民币</w:t>
      </w:r>
      <w:r>
        <w:rPr>
          <w:rFonts w:hint="eastAsia" w:hAnsi="宋体" w:cs="宋体"/>
          <w:u w:val="single"/>
        </w:rPr>
        <w:t>元</w:t>
      </w:r>
      <w:r>
        <w:rPr>
          <w:rFonts w:hint="eastAsia" w:hAnsi="宋体" w:cs="宋体"/>
        </w:rPr>
        <w:t>作为投标保证金。</w:t>
      </w:r>
    </w:p>
    <w:p w14:paraId="167E9E6F">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14、我方承诺：</w:t>
      </w:r>
    </w:p>
    <w:p w14:paraId="1290D6B4">
      <w:pPr>
        <w:pStyle w:val="9"/>
        <w:adjustRightInd w:val="0"/>
        <w:snapToGrid w:val="0"/>
        <w:spacing w:before="48" w:beforeLines="20" w:after="48" w:afterLines="20"/>
        <w:ind w:left="0" w:leftChars="0" w:firstLine="420" w:firstLineChars="175"/>
        <w:rPr>
          <w:rFonts w:hint="eastAsia" w:hAnsi="宋体" w:cs="宋体"/>
        </w:rPr>
      </w:pPr>
      <w:r>
        <w:rPr>
          <w:rFonts w:hint="eastAsia" w:hAnsi="宋体" w:cs="宋体"/>
        </w:rPr>
        <w:t>15、其他补充说明：</w:t>
      </w:r>
      <w:r>
        <w:rPr>
          <w:rFonts w:hint="eastAsia" w:hAnsi="宋体" w:cs="宋体"/>
          <w:u w:val="single"/>
        </w:rPr>
        <w:t>{补充说明事项}</w:t>
      </w:r>
    </w:p>
    <w:p w14:paraId="59896AB7">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投标人：</w:t>
      </w:r>
      <w:r>
        <w:rPr>
          <w:rFonts w:hint="eastAsia" w:ascii="宋体" w:hAnsi="宋体" w:eastAsia="宋体" w:cs="宋体"/>
          <w:snapToGrid/>
          <w:sz w:val="24"/>
          <w:szCs w:val="20"/>
          <w:u w:val="single"/>
          <w:lang w:eastAsia="zh-CN"/>
        </w:rPr>
        <w:t>（盖公章）</w:t>
      </w:r>
    </w:p>
    <w:p w14:paraId="07CFD895">
      <w:pPr>
        <w:widowControl w:val="0"/>
        <w:kinsoku/>
        <w:autoSpaceDE/>
        <w:autoSpaceDN/>
        <w:spacing w:before="48" w:beforeLines="20" w:after="48" w:afterLines="20" w:line="540" w:lineRule="exact"/>
        <w:jc w:val="both"/>
        <w:textAlignment w:val="auto"/>
        <w:rPr>
          <w:rFonts w:hint="eastAsia" w:hAnsi="宋体" w:eastAsia="宋体" w:cs="宋体"/>
          <w:u w:val="single"/>
          <w:lang w:eastAsia="zh-CN"/>
        </w:rPr>
      </w:pPr>
      <w:r>
        <w:rPr>
          <w:rFonts w:hint="eastAsia" w:hAnsi="宋体" w:cs="宋体"/>
          <w:lang w:eastAsia="zh-CN"/>
        </w:rPr>
        <w:t>单位地址：</w:t>
      </w:r>
    </w:p>
    <w:p w14:paraId="4BB48766">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法定代表人或其委托代理人：</w:t>
      </w:r>
      <w:r>
        <w:rPr>
          <w:rFonts w:hint="eastAsia" w:ascii="宋体" w:hAnsi="宋体" w:eastAsia="宋体" w:cs="宋体"/>
          <w:snapToGrid/>
          <w:sz w:val="24"/>
          <w:szCs w:val="20"/>
          <w:u w:val="single"/>
          <w:lang w:eastAsia="zh-CN"/>
        </w:rPr>
        <w:t>（盖章）</w:t>
      </w:r>
    </w:p>
    <w:p w14:paraId="67BB2187">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邮政编码：</w:t>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lang w:eastAsia="zh-CN"/>
        </w:rPr>
        <w:t>电话：</w:t>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lang w:eastAsia="zh-CN"/>
        </w:rPr>
        <w:t>传真：</w:t>
      </w:r>
    </w:p>
    <w:p w14:paraId="11023135">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开户银行名称：</w:t>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p>
    <w:p w14:paraId="1C2666B8">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开户银行账号：</w:t>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p>
    <w:p w14:paraId="083F579F">
      <w:pPr>
        <w:widowControl w:val="0"/>
        <w:kinsoku/>
        <w:autoSpaceDE/>
        <w:autoSpaceDN/>
        <w:spacing w:before="48" w:beforeLines="20" w:after="48" w:afterLines="20" w:line="540" w:lineRule="exact"/>
        <w:ind w:firstLine="3240" w:firstLineChars="135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日期：_____年____月____日</w:t>
      </w:r>
      <w:bookmarkStart w:id="51" w:name="_Toc17197762"/>
    </w:p>
    <w:p w14:paraId="011119C6">
      <w:pPr>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br w:type="page"/>
      </w:r>
    </w:p>
    <w:bookmarkEnd w:id="51"/>
    <w:p w14:paraId="08167E73">
      <w:pPr>
        <w:pStyle w:val="11"/>
        <w:jc w:val="center"/>
        <w:rPr>
          <w:rFonts w:hint="eastAsia" w:hAnsi="宋体" w:cs="宋体"/>
          <w:b/>
          <w:sz w:val="28"/>
          <w:szCs w:val="28"/>
        </w:rPr>
      </w:pPr>
      <w:bookmarkStart w:id="52" w:name="_Toc171741994"/>
      <w:bookmarkStart w:id="53" w:name="_Toc171581371"/>
      <w:bookmarkStart w:id="54" w:name="_Toc171581551"/>
      <w:r>
        <w:rPr>
          <w:rFonts w:hint="eastAsia" w:hAnsi="宋体" w:cs="宋体"/>
          <w:b/>
          <w:sz w:val="28"/>
          <w:szCs w:val="28"/>
        </w:rPr>
        <w:t>二、承诺函</w:t>
      </w:r>
    </w:p>
    <w:p w14:paraId="61FDBA1F">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p>
    <w:p w14:paraId="5DDA3361">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致：（招标人名称）：</w:t>
      </w:r>
    </w:p>
    <w:p w14:paraId="16F1F8FE">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我单位参加你方招标项目编号为（项目编号）的（招标项目名称）项目的招投标活动，现郑重承诺如下：</w:t>
      </w:r>
    </w:p>
    <w:p w14:paraId="5BE9D933">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我单位投标项目经理（建造师）参与本项目投标之前无在建工程包括已中标的待建工程（或原有在建工程已按照相关法律法规办理了有效的项目经理变更手续）。如发现有在建工程（含已中标的待建工程）或办理的变更手续不符合法定原因、条件、程序，经查证属实即构成以虚假信息（事实）投标，我单位自愿接受招标人及公共资源交易监督管理部门按照《中华人民共和国招标投标法》及其实施条例规定给予的处理，包括中标无效，给招标人造成损失的赔偿招标人损失，接受罚款以及投标资格限制等。</w:t>
      </w:r>
    </w:p>
    <w:p w14:paraId="353E6AD2">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p>
    <w:p w14:paraId="3694C658">
      <w:pPr>
        <w:widowControl w:val="0"/>
        <w:kinsoku/>
        <w:autoSpaceDE/>
        <w:autoSpaceDN/>
        <w:spacing w:before="48" w:beforeLines="20" w:after="48" w:afterLines="20" w:line="540" w:lineRule="exact"/>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投标人（盖公章）：</w:t>
      </w:r>
    </w:p>
    <w:p w14:paraId="0489DF76">
      <w:pPr>
        <w:widowControl w:val="0"/>
        <w:kinsoku/>
        <w:autoSpaceDE/>
        <w:autoSpaceDN/>
        <w:spacing w:before="48" w:beforeLines="20" w:after="48" w:afterLines="20" w:line="540" w:lineRule="exact"/>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法定代表人（签字）：</w:t>
      </w:r>
    </w:p>
    <w:p w14:paraId="384E5BE7">
      <w:pPr>
        <w:widowControl w:val="0"/>
        <w:kinsoku/>
        <w:autoSpaceDE/>
        <w:autoSpaceDN/>
        <w:spacing w:before="48" w:beforeLines="20" w:after="48" w:afterLines="20" w:line="540" w:lineRule="exact"/>
        <w:jc w:val="right"/>
        <w:textAlignment w:val="auto"/>
        <w:rPr>
          <w:rFonts w:hint="eastAsia" w:ascii="宋体" w:hAnsi="宋体" w:eastAsia="宋体" w:cs="宋体"/>
          <w:snapToGrid/>
          <w:sz w:val="24"/>
          <w:szCs w:val="20"/>
          <w:lang w:eastAsia="zh-CN"/>
        </w:rPr>
      </w:pPr>
    </w:p>
    <w:p w14:paraId="312882F0">
      <w:pPr>
        <w:widowControl w:val="0"/>
        <w:kinsoku/>
        <w:autoSpaceDE/>
        <w:autoSpaceDN/>
        <w:spacing w:before="48" w:beforeLines="20" w:after="48" w:afterLines="20" w:line="540" w:lineRule="exact"/>
        <w:jc w:val="right"/>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年月日</w:t>
      </w:r>
    </w:p>
    <w:p w14:paraId="7A33F8BE">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p>
    <w:p w14:paraId="36DA7CC5">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p>
    <w:p w14:paraId="76F17332">
      <w:pPr>
        <w:rPr>
          <w:rFonts w:ascii="宋体" w:hAnsi="宋体" w:cs="宋体"/>
        </w:rPr>
      </w:pPr>
      <w:r>
        <w:rPr>
          <w:rFonts w:hint="eastAsia" w:ascii="宋体" w:hAnsi="宋体" w:cs="宋体"/>
        </w:rPr>
        <w:br w:type="page"/>
      </w:r>
    </w:p>
    <w:p w14:paraId="27DD3901">
      <w:pPr>
        <w:spacing w:before="91" w:line="219" w:lineRule="auto"/>
        <w:ind w:left="2070"/>
        <w:rPr>
          <w:rFonts w:hint="eastAsia" w:ascii="宋体" w:hAnsi="宋体" w:eastAsia="宋体" w:cs="宋体"/>
          <w:b/>
          <w:bCs/>
          <w:spacing w:val="-3"/>
          <w:sz w:val="28"/>
          <w:szCs w:val="28"/>
        </w:rPr>
      </w:pPr>
      <w:bookmarkStart w:id="55" w:name="_Toc17197767"/>
    </w:p>
    <w:p w14:paraId="6CE0AE4E">
      <w:pPr>
        <w:numPr>
          <w:ilvl w:val="0"/>
          <w:numId w:val="9"/>
        </w:numPr>
        <w:spacing w:before="91" w:line="219" w:lineRule="auto"/>
        <w:ind w:left="2070"/>
        <w:rPr>
          <w:rFonts w:hint="eastAsia" w:ascii="宋体" w:hAnsi="宋体" w:eastAsia="宋体" w:cs="宋体"/>
          <w:b/>
          <w:bCs/>
          <w:spacing w:val="-3"/>
          <w:sz w:val="28"/>
          <w:szCs w:val="28"/>
          <w:lang w:eastAsia="zh-CN"/>
        </w:rPr>
      </w:pPr>
      <w:r>
        <w:rPr>
          <w:rFonts w:ascii="宋体" w:hAnsi="宋体" w:eastAsia="宋体" w:cs="宋体"/>
          <w:b/>
          <w:bCs/>
          <w:spacing w:val="-3"/>
          <w:sz w:val="28"/>
          <w:szCs w:val="28"/>
          <w:lang w:eastAsia="zh-CN"/>
        </w:rPr>
        <w:t>投标报价需要说明的其他材料</w:t>
      </w:r>
    </w:p>
    <w:p w14:paraId="028BE977">
      <w:pPr>
        <w:spacing w:before="91" w:line="219" w:lineRule="auto"/>
        <w:rPr>
          <w:rFonts w:hint="eastAsia" w:ascii="宋体" w:hAnsi="宋体" w:eastAsia="宋体" w:cs="宋体"/>
          <w:b/>
          <w:bCs/>
          <w:spacing w:val="-3"/>
          <w:sz w:val="28"/>
          <w:szCs w:val="28"/>
          <w:lang w:eastAsia="zh-CN"/>
        </w:rPr>
      </w:pPr>
    </w:p>
    <w:p w14:paraId="4C8828E9">
      <w:pPr>
        <w:spacing w:before="154" w:line="218" w:lineRule="auto"/>
        <w:ind w:left="1058"/>
        <w:rPr>
          <w:rFonts w:hint="eastAsia" w:ascii="宋体" w:hAnsi="宋体" w:eastAsia="宋体" w:cs="宋体"/>
          <w:sz w:val="24"/>
          <w:szCs w:val="24"/>
          <w:lang w:eastAsia="zh-CN"/>
        </w:rPr>
      </w:pPr>
      <w:r>
        <w:rPr>
          <w:rFonts w:ascii="宋体" w:hAnsi="宋体" w:eastAsia="宋体" w:cs="宋体"/>
          <w:spacing w:val="-2"/>
          <w:sz w:val="24"/>
          <w:szCs w:val="24"/>
          <w:lang w:eastAsia="zh-CN"/>
        </w:rPr>
        <w:t>投标人认为需对其投标报价进行其他补充说明及证明材料。</w:t>
      </w:r>
    </w:p>
    <w:p w14:paraId="1E9652B5">
      <w:pPr>
        <w:spacing w:line="218" w:lineRule="auto"/>
        <w:rPr>
          <w:rFonts w:hint="eastAsia" w:ascii="宋体" w:hAnsi="宋体" w:eastAsia="宋体" w:cs="宋体"/>
          <w:sz w:val="24"/>
          <w:szCs w:val="24"/>
          <w:lang w:eastAsia="zh-CN"/>
        </w:rPr>
        <w:sectPr>
          <w:headerReference r:id="rId15" w:type="default"/>
          <w:footerReference r:id="rId16" w:type="default"/>
          <w:pgSz w:w="11907" w:h="16839"/>
          <w:pgMar w:top="1440" w:right="1800" w:bottom="1440" w:left="1800" w:header="0" w:footer="946" w:gutter="0"/>
          <w:cols w:space="720" w:num="1"/>
        </w:sectPr>
      </w:pPr>
    </w:p>
    <w:bookmarkEnd w:id="52"/>
    <w:bookmarkEnd w:id="53"/>
    <w:bookmarkEnd w:id="54"/>
    <w:bookmarkEnd w:id="55"/>
    <w:p w14:paraId="07EFAEFE">
      <w:pPr>
        <w:rPr>
          <w:lang w:eastAsia="zh-CN"/>
        </w:rPr>
      </w:pPr>
      <w:bookmarkStart w:id="56" w:name="_Toc306204892"/>
      <w:bookmarkStart w:id="57" w:name="_Toc12094"/>
    </w:p>
    <w:p w14:paraId="1118F375">
      <w:pPr>
        <w:pStyle w:val="6"/>
        <w:jc w:val="center"/>
        <w:rPr>
          <w:rFonts w:hint="eastAsia" w:ascii="宋体" w:hAnsi="宋体" w:eastAsia="宋体" w:cs="宋体"/>
        </w:rPr>
      </w:pPr>
      <w:r>
        <w:rPr>
          <w:rFonts w:hint="eastAsia" w:ascii="宋体" w:hAnsi="宋体" w:eastAsia="宋体" w:cs="宋体"/>
        </w:rPr>
        <w:t>（二）技术标</w:t>
      </w:r>
      <w:bookmarkEnd w:id="56"/>
      <w:bookmarkEnd w:id="57"/>
    </w:p>
    <w:p w14:paraId="0540974A">
      <w:pPr>
        <w:pStyle w:val="9"/>
        <w:adjustRightInd w:val="0"/>
        <w:snapToGrid w:val="0"/>
        <w:spacing w:before="48" w:beforeLines="20" w:after="48" w:afterLines="20" w:line="540" w:lineRule="exact"/>
        <w:ind w:leftChars="0"/>
        <w:jc w:val="left"/>
        <w:rPr>
          <w:rFonts w:hint="eastAsia" w:hAnsi="宋体" w:cs="宋体"/>
        </w:rPr>
      </w:pPr>
      <w:bookmarkStart w:id="58" w:name="_Toc17197760"/>
      <w:r>
        <w:rPr>
          <w:rFonts w:hint="eastAsia" w:hAnsi="宋体" w:cs="宋体"/>
        </w:rPr>
        <w:t>封面格式</w:t>
      </w:r>
    </w:p>
    <w:p w14:paraId="19F8A5D0">
      <w:pPr>
        <w:pStyle w:val="9"/>
        <w:adjustRightInd w:val="0"/>
        <w:snapToGrid w:val="0"/>
        <w:spacing w:before="48" w:beforeLines="20" w:after="48" w:afterLines="20" w:line="540" w:lineRule="exact"/>
        <w:ind w:left="0" w:leftChars="0" w:firstLine="2400" w:firstLineChars="1000"/>
        <w:jc w:val="left"/>
        <w:rPr>
          <w:rFonts w:hint="eastAsia" w:hAnsi="宋体" w:cs="宋体"/>
        </w:rPr>
      </w:pPr>
    </w:p>
    <w:p w14:paraId="72FDCB51">
      <w:pPr>
        <w:spacing w:before="91" w:line="221" w:lineRule="auto"/>
        <w:ind w:left="3343"/>
        <w:rPr>
          <w:rFonts w:hint="eastAsia" w:ascii="宋体" w:hAnsi="宋体" w:eastAsia="宋体" w:cs="宋体"/>
          <w:sz w:val="28"/>
          <w:szCs w:val="28"/>
          <w:u w:val="single"/>
          <w:lang w:eastAsia="zh-CN"/>
        </w:rPr>
      </w:pPr>
      <w:r>
        <w:rPr>
          <w:rFonts w:ascii="宋体" w:hAnsi="宋体" w:eastAsia="宋体" w:cs="宋体"/>
          <w:b/>
          <w:bCs/>
          <w:spacing w:val="-8"/>
          <w:sz w:val="28"/>
          <w:szCs w:val="28"/>
          <w:u w:val="single"/>
          <w:lang w:eastAsia="zh-CN"/>
        </w:rPr>
        <w:t>（项目名称）</w:t>
      </w:r>
    </w:p>
    <w:p w14:paraId="0D6DC975">
      <w:pPr>
        <w:widowControl w:val="0"/>
        <w:kinsoku/>
        <w:autoSpaceDE/>
        <w:autoSpaceDN/>
        <w:spacing w:before="48" w:beforeLines="20" w:after="48" w:afterLines="20" w:line="800" w:lineRule="exact"/>
        <w:jc w:val="both"/>
        <w:textAlignment w:val="auto"/>
        <w:rPr>
          <w:rFonts w:hint="eastAsia" w:ascii="宋体" w:hAnsi="宋体" w:eastAsia="宋体" w:cs="宋体"/>
          <w:snapToGrid/>
          <w:sz w:val="24"/>
          <w:szCs w:val="20"/>
          <w:u w:val="single"/>
          <w:lang w:eastAsia="zh-CN"/>
        </w:rPr>
      </w:pPr>
    </w:p>
    <w:p w14:paraId="47D637B0">
      <w:pPr>
        <w:widowControl w:val="0"/>
        <w:spacing w:before="48" w:beforeLines="20" w:after="48" w:afterLines="20" w:line="800" w:lineRule="exact"/>
        <w:ind w:left="63" w:leftChars="30" w:right="63" w:rightChars="30"/>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投标文件</w:t>
      </w:r>
    </w:p>
    <w:p w14:paraId="00233EE5">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63309681">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5A0ABF5C">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695C153F">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0CA7F026">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21B4A89D">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2AB55B77">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0A82A233">
      <w:pPr>
        <w:widowControl w:val="0"/>
        <w:kinsoku/>
        <w:autoSpaceDE/>
        <w:autoSpaceDN/>
        <w:spacing w:before="48" w:beforeLines="20" w:after="48" w:afterLines="20" w:line="540" w:lineRule="exact"/>
        <w:ind w:firstLine="843" w:firstLineChars="300"/>
        <w:jc w:val="both"/>
        <w:textAlignment w:val="auto"/>
        <w:rPr>
          <w:rFonts w:hint="eastAsia" w:ascii="宋体" w:hAnsi="宋体" w:eastAsia="宋体" w:cs="宋体"/>
          <w:b/>
          <w:bCs/>
          <w:snapToGrid/>
          <w:sz w:val="28"/>
          <w:szCs w:val="20"/>
          <w:u w:val="single"/>
          <w:lang w:eastAsia="zh-CN"/>
        </w:rPr>
      </w:pPr>
      <w:r>
        <w:rPr>
          <w:rFonts w:hint="eastAsia" w:ascii="宋体" w:hAnsi="宋体" w:eastAsia="宋体" w:cs="宋体"/>
          <w:b/>
          <w:bCs/>
          <w:snapToGrid/>
          <w:sz w:val="28"/>
          <w:szCs w:val="20"/>
          <w:lang w:eastAsia="zh-CN"/>
        </w:rPr>
        <w:t>投标文件内容：</w:t>
      </w:r>
      <w:r>
        <w:rPr>
          <w:rFonts w:hint="eastAsia" w:ascii="宋体" w:hAnsi="宋体" w:eastAsia="宋体" w:cs="宋体"/>
          <w:b/>
          <w:bCs/>
          <w:snapToGrid/>
          <w:sz w:val="28"/>
          <w:szCs w:val="20"/>
          <w:u w:val="single"/>
          <w:lang w:eastAsia="zh-CN"/>
        </w:rPr>
        <w:tab/>
      </w:r>
      <w:r>
        <w:rPr>
          <w:rFonts w:hint="eastAsia" w:ascii="宋体" w:hAnsi="宋体" w:eastAsia="宋体" w:cs="宋体"/>
          <w:b/>
          <w:bCs/>
          <w:snapToGrid/>
          <w:sz w:val="28"/>
          <w:szCs w:val="20"/>
          <w:u w:val="single"/>
          <w:lang w:eastAsia="zh-CN"/>
        </w:rPr>
        <w:t>投标文件技术标一</w:t>
      </w:r>
      <w:r>
        <w:rPr>
          <w:rFonts w:hint="eastAsia" w:ascii="宋体" w:hAnsi="宋体" w:eastAsia="宋体" w:cs="宋体"/>
          <w:b/>
          <w:bCs/>
          <w:snapToGrid/>
          <w:sz w:val="28"/>
          <w:szCs w:val="20"/>
          <w:u w:val="single"/>
          <w:lang w:eastAsia="zh-CN"/>
        </w:rPr>
        <w:tab/>
      </w:r>
    </w:p>
    <w:p w14:paraId="50953A52">
      <w:pPr>
        <w:widowControl w:val="0"/>
        <w:kinsoku/>
        <w:autoSpaceDE/>
        <w:autoSpaceDN/>
        <w:spacing w:before="48" w:beforeLines="20" w:after="48" w:afterLines="20" w:line="540" w:lineRule="exact"/>
        <w:ind w:firstLine="843" w:firstLineChars="300"/>
        <w:jc w:val="both"/>
        <w:textAlignment w:val="auto"/>
        <w:rPr>
          <w:rFonts w:hint="eastAsia" w:ascii="宋体" w:hAnsi="宋体" w:eastAsia="宋体" w:cs="宋体"/>
          <w:b/>
          <w:bCs/>
          <w:snapToGrid/>
          <w:sz w:val="28"/>
          <w:szCs w:val="20"/>
          <w:lang w:eastAsia="zh-CN"/>
        </w:rPr>
      </w:pPr>
      <w:r>
        <w:rPr>
          <w:rFonts w:hint="eastAsia" w:ascii="宋体" w:hAnsi="宋体" w:eastAsia="宋体" w:cs="宋体"/>
          <w:b/>
          <w:bCs/>
          <w:snapToGrid/>
          <w:sz w:val="28"/>
          <w:szCs w:val="20"/>
          <w:lang w:eastAsia="zh-CN"/>
        </w:rPr>
        <w:t>投标人：</w:t>
      </w:r>
      <w:r>
        <w:rPr>
          <w:rFonts w:hint="eastAsia" w:ascii="宋体" w:hAnsi="宋体" w:eastAsia="宋体" w:cs="宋体"/>
          <w:b/>
          <w:bCs/>
          <w:snapToGrid/>
          <w:sz w:val="28"/>
          <w:szCs w:val="20"/>
          <w:u w:val="single"/>
          <w:lang w:eastAsia="zh-CN"/>
        </w:rPr>
        <w:t>（盖公章）</w:t>
      </w:r>
    </w:p>
    <w:p w14:paraId="07EB33AF">
      <w:pPr>
        <w:pStyle w:val="16"/>
        <w:adjustRightInd w:val="0"/>
        <w:snapToGrid w:val="0"/>
        <w:spacing w:before="48" w:beforeLines="20" w:after="48" w:afterLines="20" w:line="540" w:lineRule="exact"/>
        <w:ind w:left="248" w:leftChars="118" w:firstLine="562" w:firstLineChars="200"/>
        <w:rPr>
          <w:rFonts w:hint="eastAsia" w:hAnsi="宋体" w:cs="宋体"/>
          <w:b/>
          <w:bCs/>
          <w:sz w:val="28"/>
          <w:u w:val="single"/>
        </w:rPr>
      </w:pPr>
      <w:r>
        <w:rPr>
          <w:rFonts w:hint="eastAsia" w:hAnsi="宋体" w:cs="宋体"/>
          <w:b/>
          <w:bCs/>
          <w:sz w:val="28"/>
        </w:rPr>
        <w:t>法定代表人或其委托代理人：</w:t>
      </w:r>
      <w:r>
        <w:rPr>
          <w:rFonts w:hint="eastAsia" w:hAnsi="宋体" w:cs="宋体"/>
          <w:b/>
          <w:bCs/>
          <w:sz w:val="28"/>
          <w:u w:val="single"/>
        </w:rPr>
        <w:t>（盖章）</w:t>
      </w:r>
    </w:p>
    <w:p w14:paraId="652A7685">
      <w:pPr>
        <w:widowControl w:val="0"/>
        <w:kinsoku/>
        <w:autoSpaceDE/>
        <w:autoSpaceDN/>
        <w:spacing w:before="48" w:beforeLines="20" w:after="48" w:afterLines="20" w:line="540" w:lineRule="exact"/>
        <w:ind w:left="838" w:leftChars="399" w:firstLine="2711" w:firstLineChars="1125"/>
        <w:jc w:val="both"/>
        <w:textAlignment w:val="auto"/>
        <w:rPr>
          <w:rFonts w:hint="eastAsia" w:ascii="宋体" w:hAnsi="宋体" w:eastAsia="宋体" w:cs="宋体"/>
          <w:b/>
          <w:bCs/>
          <w:snapToGrid/>
          <w:sz w:val="24"/>
          <w:szCs w:val="20"/>
          <w:lang w:eastAsia="zh-CN"/>
        </w:rPr>
      </w:pPr>
    </w:p>
    <w:p w14:paraId="2911C421">
      <w:pPr>
        <w:widowControl w:val="0"/>
        <w:kinsoku/>
        <w:autoSpaceDE/>
        <w:autoSpaceDN/>
        <w:spacing w:before="48" w:beforeLines="20" w:after="48" w:afterLines="20" w:line="540" w:lineRule="exact"/>
        <w:jc w:val="center"/>
        <w:textAlignment w:val="auto"/>
        <w:rPr>
          <w:rFonts w:hint="eastAsia" w:ascii="宋体" w:hAnsi="宋体" w:eastAsia="宋体" w:cs="宋体"/>
          <w:b/>
          <w:bCs/>
          <w:snapToGrid/>
          <w:sz w:val="24"/>
          <w:szCs w:val="20"/>
          <w:lang w:eastAsia="zh-CN"/>
        </w:rPr>
      </w:pPr>
      <w:r>
        <w:rPr>
          <w:rFonts w:hint="eastAsia" w:ascii="宋体" w:hAnsi="宋体" w:eastAsia="宋体" w:cs="宋体"/>
          <w:b/>
          <w:bCs/>
          <w:snapToGrid/>
          <w:sz w:val="24"/>
          <w:szCs w:val="20"/>
          <w:lang w:eastAsia="zh-CN"/>
        </w:rPr>
        <w:t>年月日</w:t>
      </w:r>
      <w:bookmarkStart w:id="59" w:name="_Toc171742001"/>
      <w:bookmarkStart w:id="60" w:name="_Toc171581558"/>
      <w:bookmarkStart w:id="61" w:name="_Toc171581378"/>
      <w:bookmarkStart w:id="62" w:name="_Toc17197776"/>
    </w:p>
    <w:p w14:paraId="299DEA79">
      <w:pPr>
        <w:rPr>
          <w:rFonts w:hAnsi="宋体" w:cs="宋体"/>
          <w:b/>
          <w:sz w:val="28"/>
          <w:szCs w:val="28"/>
          <w:lang w:eastAsia="zh-CN"/>
        </w:rPr>
      </w:pPr>
      <w:r>
        <w:rPr>
          <w:rFonts w:hint="eastAsia" w:hAnsi="宋体" w:cs="宋体"/>
          <w:b/>
          <w:sz w:val="28"/>
          <w:szCs w:val="28"/>
          <w:lang w:eastAsia="zh-CN"/>
        </w:rPr>
        <w:br w:type="page"/>
      </w:r>
    </w:p>
    <w:p w14:paraId="2A38FE8C">
      <w:pPr>
        <w:spacing w:before="91" w:line="221" w:lineRule="auto"/>
        <w:ind w:left="3343"/>
        <w:rPr>
          <w:rFonts w:hint="eastAsia" w:ascii="宋体" w:hAnsi="宋体" w:eastAsia="宋体" w:cs="宋体"/>
          <w:b/>
          <w:bCs/>
          <w:spacing w:val="-8"/>
          <w:sz w:val="28"/>
          <w:szCs w:val="28"/>
          <w:u w:val="single"/>
          <w:lang w:eastAsia="zh-CN"/>
        </w:rPr>
      </w:pPr>
    </w:p>
    <w:p w14:paraId="678A0B7C">
      <w:pPr>
        <w:spacing w:before="91" w:line="221" w:lineRule="auto"/>
        <w:ind w:left="3343"/>
        <w:rPr>
          <w:rFonts w:hint="eastAsia" w:ascii="宋体" w:hAnsi="宋体" w:eastAsia="宋体" w:cs="宋体"/>
          <w:b/>
          <w:bCs/>
          <w:spacing w:val="-8"/>
          <w:sz w:val="28"/>
          <w:szCs w:val="28"/>
          <w:u w:val="single"/>
          <w:lang w:eastAsia="zh-CN"/>
        </w:rPr>
      </w:pPr>
    </w:p>
    <w:p w14:paraId="35E790F4">
      <w:pPr>
        <w:spacing w:before="91" w:line="221" w:lineRule="auto"/>
        <w:ind w:left="3343"/>
        <w:rPr>
          <w:rFonts w:hint="eastAsia" w:ascii="宋体" w:hAnsi="宋体" w:eastAsia="宋体" w:cs="宋体"/>
          <w:sz w:val="28"/>
          <w:szCs w:val="28"/>
          <w:u w:val="single"/>
          <w:lang w:eastAsia="zh-CN"/>
        </w:rPr>
      </w:pPr>
      <w:r>
        <w:rPr>
          <w:rFonts w:ascii="宋体" w:hAnsi="宋体" w:eastAsia="宋体" w:cs="宋体"/>
          <w:b/>
          <w:bCs/>
          <w:spacing w:val="-8"/>
          <w:sz w:val="28"/>
          <w:szCs w:val="28"/>
          <w:u w:val="single"/>
          <w:lang w:eastAsia="zh-CN"/>
        </w:rPr>
        <w:t>（项目名称）</w:t>
      </w:r>
    </w:p>
    <w:p w14:paraId="0FB0B29E">
      <w:pPr>
        <w:widowControl w:val="0"/>
        <w:kinsoku/>
        <w:autoSpaceDE/>
        <w:autoSpaceDN/>
        <w:spacing w:before="48" w:beforeLines="20" w:after="48" w:afterLines="20" w:line="800" w:lineRule="exact"/>
        <w:jc w:val="both"/>
        <w:textAlignment w:val="auto"/>
        <w:rPr>
          <w:rFonts w:hint="eastAsia" w:ascii="宋体" w:hAnsi="宋体" w:eastAsia="宋体" w:cs="宋体"/>
          <w:snapToGrid/>
          <w:sz w:val="24"/>
          <w:szCs w:val="20"/>
          <w:u w:val="single"/>
          <w:lang w:eastAsia="zh-CN"/>
        </w:rPr>
      </w:pPr>
    </w:p>
    <w:p w14:paraId="08C0FFF0">
      <w:pPr>
        <w:widowControl w:val="0"/>
        <w:spacing w:before="48" w:beforeLines="20" w:after="48" w:afterLines="20" w:line="800" w:lineRule="exact"/>
        <w:ind w:left="63" w:leftChars="30" w:right="63" w:rightChars="30"/>
        <w:jc w:val="center"/>
        <w:rPr>
          <w:rFonts w:hint="eastAsia" w:ascii="宋体" w:hAnsi="宋体" w:eastAsia="宋体" w:cs="宋体"/>
          <w:sz w:val="52"/>
          <w:szCs w:val="52"/>
          <w:lang w:eastAsia="zh-CN"/>
        </w:rPr>
      </w:pPr>
    </w:p>
    <w:p w14:paraId="6F2757ED">
      <w:pPr>
        <w:widowControl w:val="0"/>
        <w:spacing w:before="48" w:beforeLines="20" w:after="48" w:afterLines="20" w:line="800" w:lineRule="exact"/>
        <w:ind w:left="63" w:leftChars="30" w:right="63" w:rightChars="30"/>
        <w:jc w:val="center"/>
        <w:rPr>
          <w:rFonts w:hint="eastAsia" w:ascii="宋体" w:hAnsi="宋体" w:eastAsia="宋体" w:cs="宋体"/>
          <w:sz w:val="52"/>
          <w:szCs w:val="52"/>
          <w:lang w:eastAsia="zh-CN"/>
        </w:rPr>
      </w:pPr>
    </w:p>
    <w:p w14:paraId="536512B6">
      <w:pPr>
        <w:widowControl w:val="0"/>
        <w:spacing w:before="48" w:beforeLines="20" w:after="48" w:afterLines="20" w:line="800" w:lineRule="exact"/>
        <w:ind w:left="63" w:leftChars="30" w:right="63" w:rightChars="30"/>
        <w:jc w:val="center"/>
        <w:rPr>
          <w:rFonts w:hint="eastAsia" w:ascii="宋体" w:hAnsi="宋体" w:eastAsia="宋体" w:cs="宋体"/>
          <w:sz w:val="52"/>
          <w:szCs w:val="52"/>
          <w:lang w:eastAsia="zh-CN"/>
        </w:rPr>
      </w:pPr>
    </w:p>
    <w:p w14:paraId="678BB472">
      <w:pPr>
        <w:widowControl w:val="0"/>
        <w:spacing w:before="48" w:beforeLines="20" w:after="48" w:afterLines="20" w:line="800" w:lineRule="exact"/>
        <w:ind w:left="63" w:leftChars="30" w:right="63" w:rightChars="30"/>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投标文件</w:t>
      </w:r>
    </w:p>
    <w:p w14:paraId="75965B91">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2443C7EF">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5759D1D9">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2BD44A40">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0A31399E">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1D7C1700">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3C8B221C">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40A84E1C">
      <w:pPr>
        <w:widowControl w:val="0"/>
        <w:kinsoku/>
        <w:autoSpaceDE/>
        <w:autoSpaceDN/>
        <w:spacing w:before="48" w:beforeLines="20" w:after="48" w:afterLines="20" w:line="540" w:lineRule="exact"/>
        <w:jc w:val="center"/>
        <w:textAlignment w:val="auto"/>
        <w:rPr>
          <w:rFonts w:hint="eastAsia" w:ascii="宋体" w:hAnsi="宋体" w:eastAsia="宋体" w:cs="宋体"/>
          <w:b/>
          <w:snapToGrid/>
          <w:sz w:val="24"/>
          <w:szCs w:val="20"/>
          <w:lang w:eastAsia="zh-CN"/>
        </w:rPr>
      </w:pPr>
    </w:p>
    <w:p w14:paraId="13C95C05">
      <w:pPr>
        <w:widowControl w:val="0"/>
        <w:kinsoku/>
        <w:autoSpaceDE/>
        <w:autoSpaceDN/>
        <w:spacing w:before="48" w:beforeLines="20" w:after="48" w:afterLines="20" w:line="540" w:lineRule="exact"/>
        <w:ind w:firstLine="843" w:firstLineChars="300"/>
        <w:jc w:val="both"/>
        <w:textAlignment w:val="auto"/>
        <w:rPr>
          <w:rFonts w:hint="eastAsia" w:ascii="宋体" w:hAnsi="宋体" w:eastAsia="宋体" w:cs="宋体"/>
          <w:b/>
          <w:bCs/>
          <w:snapToGrid/>
          <w:sz w:val="28"/>
          <w:szCs w:val="20"/>
          <w:u w:val="single"/>
          <w:lang w:eastAsia="zh-CN"/>
        </w:rPr>
      </w:pPr>
      <w:r>
        <w:rPr>
          <w:rFonts w:hint="eastAsia" w:ascii="宋体" w:hAnsi="宋体" w:eastAsia="宋体" w:cs="宋体"/>
          <w:b/>
          <w:bCs/>
          <w:snapToGrid/>
          <w:sz w:val="28"/>
          <w:szCs w:val="20"/>
          <w:lang w:eastAsia="zh-CN"/>
        </w:rPr>
        <w:t>投标文件内容：</w:t>
      </w:r>
      <w:r>
        <w:rPr>
          <w:rFonts w:hint="eastAsia" w:ascii="宋体" w:hAnsi="宋体" w:eastAsia="宋体" w:cs="宋体"/>
          <w:b/>
          <w:bCs/>
          <w:snapToGrid/>
          <w:sz w:val="28"/>
          <w:szCs w:val="20"/>
          <w:u w:val="single"/>
          <w:lang w:eastAsia="zh-CN"/>
        </w:rPr>
        <w:tab/>
      </w:r>
      <w:r>
        <w:rPr>
          <w:rFonts w:hint="eastAsia" w:ascii="宋体" w:hAnsi="宋体" w:eastAsia="宋体" w:cs="宋体"/>
          <w:b/>
          <w:bCs/>
          <w:snapToGrid/>
          <w:sz w:val="28"/>
          <w:szCs w:val="20"/>
          <w:u w:val="single"/>
          <w:lang w:eastAsia="zh-CN"/>
        </w:rPr>
        <w:t>投标文件技术标二</w:t>
      </w:r>
      <w:r>
        <w:rPr>
          <w:rFonts w:hint="eastAsia" w:ascii="宋体" w:hAnsi="宋体" w:eastAsia="宋体" w:cs="宋体"/>
          <w:b/>
          <w:bCs/>
          <w:snapToGrid/>
          <w:sz w:val="28"/>
          <w:szCs w:val="20"/>
          <w:u w:val="single"/>
          <w:lang w:eastAsia="zh-CN"/>
        </w:rPr>
        <w:tab/>
      </w:r>
    </w:p>
    <w:p w14:paraId="2EDBE91C">
      <w:pPr>
        <w:widowControl w:val="0"/>
        <w:kinsoku/>
        <w:autoSpaceDE/>
        <w:autoSpaceDN/>
        <w:spacing w:before="48" w:beforeLines="20" w:after="48" w:afterLines="20" w:line="540" w:lineRule="exact"/>
        <w:ind w:firstLine="843" w:firstLineChars="300"/>
        <w:jc w:val="both"/>
        <w:textAlignment w:val="auto"/>
        <w:rPr>
          <w:rFonts w:hint="eastAsia" w:ascii="宋体" w:hAnsi="宋体" w:eastAsia="宋体" w:cs="宋体"/>
          <w:b/>
          <w:bCs/>
          <w:snapToGrid/>
          <w:sz w:val="28"/>
          <w:szCs w:val="20"/>
          <w:lang w:eastAsia="zh-CN"/>
        </w:rPr>
      </w:pPr>
      <w:r>
        <w:rPr>
          <w:rFonts w:hint="eastAsia" w:ascii="宋体" w:hAnsi="宋体" w:eastAsia="宋体" w:cs="宋体"/>
          <w:b/>
          <w:bCs/>
          <w:snapToGrid/>
          <w:sz w:val="28"/>
          <w:szCs w:val="20"/>
          <w:lang w:eastAsia="zh-CN"/>
        </w:rPr>
        <w:t>投标人：</w:t>
      </w:r>
      <w:r>
        <w:rPr>
          <w:rFonts w:hint="eastAsia" w:ascii="宋体" w:hAnsi="宋体" w:eastAsia="宋体" w:cs="宋体"/>
          <w:b/>
          <w:bCs/>
          <w:snapToGrid/>
          <w:sz w:val="28"/>
          <w:szCs w:val="20"/>
          <w:u w:val="single"/>
          <w:lang w:eastAsia="zh-CN"/>
        </w:rPr>
        <w:t>（盖公章）</w:t>
      </w:r>
    </w:p>
    <w:p w14:paraId="458AA0FA">
      <w:pPr>
        <w:pStyle w:val="16"/>
        <w:adjustRightInd w:val="0"/>
        <w:snapToGrid w:val="0"/>
        <w:spacing w:before="48" w:beforeLines="20" w:after="48" w:afterLines="20" w:line="540" w:lineRule="exact"/>
        <w:ind w:left="248" w:leftChars="118" w:firstLine="562" w:firstLineChars="200"/>
        <w:rPr>
          <w:rFonts w:hint="eastAsia" w:hAnsi="宋体" w:cs="宋体"/>
          <w:b/>
          <w:bCs/>
          <w:sz w:val="28"/>
          <w:u w:val="single"/>
        </w:rPr>
      </w:pPr>
      <w:r>
        <w:rPr>
          <w:rFonts w:hint="eastAsia" w:hAnsi="宋体" w:cs="宋体"/>
          <w:b/>
          <w:bCs/>
          <w:sz w:val="28"/>
        </w:rPr>
        <w:t>法定代表人或其委托代理人：</w:t>
      </w:r>
      <w:r>
        <w:rPr>
          <w:rFonts w:hint="eastAsia" w:hAnsi="宋体" w:cs="宋体"/>
          <w:b/>
          <w:bCs/>
          <w:sz w:val="28"/>
          <w:u w:val="single"/>
        </w:rPr>
        <w:t>（盖章）</w:t>
      </w:r>
    </w:p>
    <w:p w14:paraId="724E6D6F">
      <w:pPr>
        <w:widowControl w:val="0"/>
        <w:kinsoku/>
        <w:autoSpaceDE/>
        <w:autoSpaceDN/>
        <w:spacing w:before="48" w:beforeLines="20" w:after="48" w:afterLines="20" w:line="540" w:lineRule="exact"/>
        <w:ind w:left="838" w:leftChars="399" w:firstLine="2711" w:firstLineChars="1125"/>
        <w:jc w:val="both"/>
        <w:textAlignment w:val="auto"/>
        <w:rPr>
          <w:rFonts w:hint="eastAsia" w:ascii="宋体" w:hAnsi="宋体" w:eastAsia="宋体" w:cs="宋体"/>
          <w:b/>
          <w:bCs/>
          <w:snapToGrid/>
          <w:sz w:val="24"/>
          <w:szCs w:val="20"/>
          <w:lang w:eastAsia="zh-CN"/>
        </w:rPr>
      </w:pPr>
    </w:p>
    <w:p w14:paraId="45C93AA1">
      <w:pPr>
        <w:widowControl w:val="0"/>
        <w:kinsoku/>
        <w:autoSpaceDE/>
        <w:autoSpaceDN/>
        <w:spacing w:before="48" w:beforeLines="20" w:after="48" w:afterLines="20" w:line="540" w:lineRule="exact"/>
        <w:jc w:val="center"/>
        <w:textAlignment w:val="auto"/>
        <w:rPr>
          <w:rFonts w:hint="eastAsia" w:ascii="宋体" w:hAnsi="宋体" w:eastAsia="宋体" w:cs="宋体"/>
          <w:b/>
          <w:bCs/>
          <w:snapToGrid/>
          <w:sz w:val="24"/>
          <w:szCs w:val="20"/>
          <w:lang w:eastAsia="zh-CN"/>
        </w:rPr>
      </w:pPr>
      <w:r>
        <w:rPr>
          <w:rFonts w:hint="eastAsia" w:ascii="宋体" w:hAnsi="宋体" w:eastAsia="宋体" w:cs="宋体"/>
          <w:b/>
          <w:bCs/>
          <w:snapToGrid/>
          <w:sz w:val="24"/>
          <w:szCs w:val="20"/>
          <w:lang w:eastAsia="zh-CN"/>
        </w:rPr>
        <w:t>年月日</w:t>
      </w:r>
    </w:p>
    <w:p w14:paraId="53DAFD57">
      <w:pPr>
        <w:rPr>
          <w:rFonts w:hAnsi="宋体" w:cs="宋体"/>
          <w:b/>
          <w:sz w:val="28"/>
          <w:szCs w:val="28"/>
          <w:lang w:eastAsia="zh-CN"/>
        </w:rPr>
      </w:pPr>
      <w:r>
        <w:rPr>
          <w:rFonts w:hint="eastAsia" w:hAnsi="宋体" w:cs="宋体"/>
          <w:b/>
          <w:sz w:val="28"/>
          <w:szCs w:val="28"/>
          <w:lang w:eastAsia="zh-CN"/>
        </w:rPr>
        <w:br w:type="page"/>
      </w:r>
    </w:p>
    <w:p w14:paraId="1335DE0E">
      <w:pPr>
        <w:pStyle w:val="11"/>
        <w:rPr>
          <w:rFonts w:hint="eastAsia" w:hAnsi="宋体" w:cs="宋体"/>
          <w:b/>
          <w:sz w:val="28"/>
          <w:szCs w:val="28"/>
        </w:rPr>
      </w:pPr>
    </w:p>
    <w:p w14:paraId="149484B3">
      <w:pPr>
        <w:pStyle w:val="11"/>
        <w:ind w:firstLine="2670" w:firstLineChars="950"/>
        <w:rPr>
          <w:rFonts w:hint="eastAsia" w:hAnsi="宋体" w:cs="宋体"/>
          <w:b/>
          <w:sz w:val="28"/>
          <w:szCs w:val="28"/>
        </w:rPr>
      </w:pPr>
      <w:r>
        <w:rPr>
          <w:rFonts w:hint="eastAsia" w:hAnsi="宋体" w:cs="宋体"/>
          <w:b/>
          <w:sz w:val="28"/>
          <w:szCs w:val="28"/>
        </w:rPr>
        <w:t>(一)资格证明材料</w:t>
      </w:r>
      <w:bookmarkEnd w:id="59"/>
      <w:bookmarkEnd w:id="60"/>
      <w:bookmarkEnd w:id="61"/>
    </w:p>
    <w:p w14:paraId="20B370B1">
      <w:pPr>
        <w:spacing w:before="233" w:line="361"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包括法人授权委托书、企业法人营业执照副本、企业资质证书、</w:t>
      </w:r>
      <w:r>
        <w:rPr>
          <w:rFonts w:ascii="宋体" w:hAnsi="宋体" w:eastAsia="宋体" w:cs="宋体"/>
          <w:spacing w:val="-4"/>
          <w:sz w:val="24"/>
          <w:szCs w:val="24"/>
          <w:lang w:eastAsia="zh-CN"/>
        </w:rPr>
        <w:t>安全生产许</w:t>
      </w:r>
      <w:r>
        <w:rPr>
          <w:rFonts w:ascii="宋体" w:hAnsi="宋体" w:eastAsia="宋体" w:cs="宋体"/>
          <w:spacing w:val="-3"/>
          <w:sz w:val="24"/>
          <w:szCs w:val="24"/>
          <w:lang w:eastAsia="zh-CN"/>
        </w:rPr>
        <w:t>可证、设计负责人注册证书、项目经理（注册建造师）注册证书及安全生产</w:t>
      </w:r>
      <w:r>
        <w:rPr>
          <w:rFonts w:ascii="宋体" w:hAnsi="宋体" w:eastAsia="宋体" w:cs="宋体"/>
          <w:spacing w:val="-4"/>
          <w:sz w:val="24"/>
          <w:szCs w:val="24"/>
          <w:lang w:eastAsia="zh-CN"/>
        </w:rPr>
        <w:t>考核</w:t>
      </w:r>
      <w:r>
        <w:rPr>
          <w:rFonts w:ascii="宋体" w:hAnsi="宋体" w:eastAsia="宋体" w:cs="宋体"/>
          <w:spacing w:val="-3"/>
          <w:sz w:val="24"/>
          <w:szCs w:val="24"/>
          <w:lang w:eastAsia="zh-CN"/>
        </w:rPr>
        <w:t>合格证（</w:t>
      </w:r>
      <w:r>
        <w:rPr>
          <w:rFonts w:ascii="Calibri" w:hAnsi="Calibri" w:eastAsia="Calibri" w:cs="Calibri"/>
          <w:spacing w:val="-3"/>
          <w:sz w:val="24"/>
          <w:szCs w:val="24"/>
          <w:lang w:eastAsia="zh-CN"/>
        </w:rPr>
        <w:t>B</w:t>
      </w:r>
      <w:r>
        <w:rPr>
          <w:rFonts w:ascii="宋体" w:hAnsi="宋体" w:eastAsia="宋体" w:cs="宋体"/>
          <w:spacing w:val="-3"/>
          <w:sz w:val="24"/>
          <w:szCs w:val="24"/>
          <w:lang w:eastAsia="zh-CN"/>
        </w:rPr>
        <w:t>证）、技术负责人职称证书、业绩证明、社保缴费证明材料等内</w:t>
      </w:r>
      <w:r>
        <w:rPr>
          <w:rFonts w:ascii="宋体" w:hAnsi="宋体" w:eastAsia="宋体" w:cs="宋体"/>
          <w:spacing w:val="-12"/>
          <w:sz w:val="24"/>
          <w:szCs w:val="24"/>
          <w:lang w:eastAsia="zh-CN"/>
        </w:rPr>
        <w:t>容。</w:t>
      </w:r>
    </w:p>
    <w:p w14:paraId="1EF6E97B">
      <w:pPr>
        <w:widowControl w:val="0"/>
        <w:kinsoku/>
        <w:autoSpaceDE/>
        <w:autoSpaceDN/>
        <w:adjustRightInd/>
        <w:snapToGrid/>
        <w:jc w:val="both"/>
        <w:textAlignment w:val="auto"/>
        <w:rPr>
          <w:rFonts w:hint="eastAsia" w:ascii="宋体" w:hAnsi="宋体" w:eastAsia="宋体" w:cs="宋体"/>
          <w:snapToGrid/>
          <w:sz w:val="24"/>
          <w:szCs w:val="24"/>
          <w:lang w:eastAsia="zh-CN"/>
        </w:rPr>
      </w:pPr>
    </w:p>
    <w:p w14:paraId="0167C97C">
      <w:pPr>
        <w:spacing w:before="117" w:line="219" w:lineRule="auto"/>
        <w:ind w:left="3102" w:firstLine="281" w:firstLineChars="100"/>
        <w:rPr>
          <w:rFonts w:hint="eastAsia" w:ascii="宋体" w:hAnsi="宋体" w:eastAsia="宋体" w:cs="宋体"/>
          <w:b/>
          <w:snapToGrid/>
          <w:color w:val="auto"/>
          <w:sz w:val="28"/>
          <w:szCs w:val="28"/>
          <w:lang w:eastAsia="zh-CN"/>
        </w:rPr>
      </w:pPr>
      <w:r>
        <w:rPr>
          <w:rFonts w:hint="eastAsia" w:ascii="宋体" w:hAnsi="宋体" w:eastAsia="宋体" w:cs="宋体"/>
          <w:b/>
          <w:snapToGrid/>
          <w:color w:val="auto"/>
          <w:sz w:val="28"/>
          <w:szCs w:val="28"/>
          <w:lang w:eastAsia="zh-CN"/>
        </w:rPr>
        <w:t>联合体协议书</w:t>
      </w:r>
    </w:p>
    <w:p w14:paraId="05A95D90">
      <w:pPr>
        <w:spacing w:before="237" w:line="219" w:lineRule="auto"/>
        <w:ind w:left="2786"/>
        <w:rPr>
          <w:lang w:eastAsia="zh-CN"/>
        </w:rPr>
      </w:pPr>
      <w:r>
        <w:rPr>
          <w:rFonts w:hint="eastAsia" w:ascii="宋体" w:hAnsi="宋体" w:eastAsia="宋体" w:cs="宋体"/>
          <w:b/>
          <w:snapToGrid/>
          <w:color w:val="auto"/>
          <w:sz w:val="28"/>
          <w:szCs w:val="28"/>
          <w:lang w:eastAsia="zh-CN"/>
        </w:rPr>
        <w:t>（如采用联合体投标）</w:t>
      </w:r>
      <w:r>
        <w:rPr>
          <w:rFonts w:hint="eastAsia" w:ascii="宋体" w:hAnsi="宋体" w:eastAsia="宋体" w:cs="宋体"/>
          <w:sz w:val="24"/>
          <w:szCs w:val="24"/>
          <w:lang w:eastAsia="zh-CN" w:bidi="ar"/>
        </w:rPr>
        <w:t xml:space="preserve"> </w:t>
      </w:r>
    </w:p>
    <w:p w14:paraId="4D7703AD">
      <w:pPr>
        <w:rPr>
          <w:lang w:eastAsia="zh-CN"/>
        </w:rPr>
      </w:pPr>
      <w:r>
        <w:rPr>
          <w:rFonts w:hint="eastAsia" w:ascii="宋体" w:hAnsi="宋体" w:eastAsia="宋体" w:cs="宋体"/>
          <w:sz w:val="24"/>
          <w:szCs w:val="24"/>
          <w:lang w:eastAsia="zh-CN" w:bidi="ar"/>
        </w:rPr>
        <w:t xml:space="preserve">牵头人（成员一）名称： </w:t>
      </w:r>
    </w:p>
    <w:p w14:paraId="69D4E92E">
      <w:r>
        <w:rPr>
          <w:rFonts w:hint="eastAsia" w:ascii="宋体" w:hAnsi="宋体" w:eastAsia="宋体" w:cs="宋体"/>
          <w:sz w:val="24"/>
          <w:szCs w:val="24"/>
          <w:lang w:eastAsia="zh-CN" w:bidi="ar"/>
        </w:rPr>
        <w:t xml:space="preserve">法定代表人： </w:t>
      </w:r>
    </w:p>
    <w:p w14:paraId="280288CB">
      <w:r>
        <w:rPr>
          <w:rFonts w:hint="eastAsia" w:ascii="宋体" w:hAnsi="宋体" w:eastAsia="宋体" w:cs="宋体"/>
          <w:sz w:val="24"/>
          <w:szCs w:val="24"/>
          <w:lang w:eastAsia="zh-CN" w:bidi="ar"/>
        </w:rPr>
        <w:t xml:space="preserve">法定住所： </w:t>
      </w:r>
    </w:p>
    <w:p w14:paraId="044689A0">
      <w:pPr>
        <w:rPr>
          <w:lang w:eastAsia="zh-CN"/>
        </w:rPr>
      </w:pPr>
      <w:r>
        <w:rPr>
          <w:rFonts w:hint="eastAsia" w:ascii="宋体" w:hAnsi="宋体" w:eastAsia="宋体" w:cs="宋体"/>
          <w:sz w:val="24"/>
          <w:szCs w:val="24"/>
          <w:lang w:eastAsia="zh-CN" w:bidi="ar"/>
        </w:rPr>
        <w:t xml:space="preserve">成员二名称： </w:t>
      </w:r>
    </w:p>
    <w:p w14:paraId="211A633E">
      <w:pPr>
        <w:rPr>
          <w:lang w:eastAsia="zh-CN"/>
        </w:rPr>
      </w:pPr>
      <w:r>
        <w:rPr>
          <w:rFonts w:hint="eastAsia" w:ascii="宋体" w:hAnsi="宋体" w:eastAsia="宋体" w:cs="宋体"/>
          <w:sz w:val="24"/>
          <w:szCs w:val="24"/>
          <w:lang w:eastAsia="zh-CN" w:bidi="ar"/>
        </w:rPr>
        <w:t xml:space="preserve">法定代表人： </w:t>
      </w:r>
    </w:p>
    <w:p w14:paraId="0C5E0A22">
      <w:pPr>
        <w:rPr>
          <w:lang w:eastAsia="zh-CN"/>
        </w:rPr>
      </w:pPr>
      <w:r>
        <w:rPr>
          <w:rFonts w:hint="eastAsia" w:ascii="宋体" w:hAnsi="宋体" w:eastAsia="宋体" w:cs="宋体"/>
          <w:sz w:val="24"/>
          <w:szCs w:val="24"/>
          <w:lang w:eastAsia="zh-CN" w:bidi="ar"/>
        </w:rPr>
        <w:t xml:space="preserve">法定住所： </w:t>
      </w:r>
    </w:p>
    <w:p w14:paraId="0EB76E35">
      <w:pPr>
        <w:rPr>
          <w:lang w:eastAsia="zh-CN"/>
        </w:rPr>
      </w:pPr>
      <w:r>
        <w:rPr>
          <w:rFonts w:hint="eastAsia" w:ascii="宋体" w:hAnsi="宋体" w:eastAsia="宋体" w:cs="宋体"/>
          <w:sz w:val="24"/>
          <w:szCs w:val="24"/>
          <w:lang w:eastAsia="zh-CN" w:bidi="ar"/>
        </w:rPr>
        <w:t xml:space="preserve">成员三名称： </w:t>
      </w:r>
    </w:p>
    <w:p w14:paraId="2E0B8F0B">
      <w:r>
        <w:rPr>
          <w:rFonts w:hint="eastAsia" w:ascii="宋体" w:hAnsi="宋体" w:eastAsia="宋体" w:cs="宋体"/>
          <w:sz w:val="24"/>
          <w:szCs w:val="24"/>
          <w:lang w:eastAsia="zh-CN" w:bidi="ar"/>
        </w:rPr>
        <w:t xml:space="preserve">法定代表人： </w:t>
      </w:r>
    </w:p>
    <w:p w14:paraId="0C7B5DC9">
      <w:r>
        <w:rPr>
          <w:rFonts w:hint="eastAsia" w:ascii="宋体" w:hAnsi="宋体" w:eastAsia="宋体" w:cs="宋体"/>
          <w:sz w:val="24"/>
          <w:szCs w:val="24"/>
          <w:lang w:eastAsia="zh-CN" w:bidi="ar"/>
        </w:rPr>
        <w:t xml:space="preserve">法定住所： </w:t>
      </w:r>
    </w:p>
    <w:p w14:paraId="73C991C0">
      <w:pPr>
        <w:rPr>
          <w:lang w:eastAsia="zh-CN"/>
        </w:rPr>
      </w:pPr>
      <w:r>
        <w:rPr>
          <w:rFonts w:hint="eastAsia" w:ascii="宋体" w:hAnsi="宋体" w:eastAsia="宋体" w:cs="宋体"/>
          <w:sz w:val="24"/>
          <w:szCs w:val="24"/>
          <w:lang w:eastAsia="zh-CN" w:bidi="ar"/>
        </w:rPr>
        <w:t>鉴于上述各成员单位经过友好协商，自愿组成</w:t>
      </w:r>
      <w:r>
        <w:rPr>
          <w:rFonts w:hint="eastAsia" w:ascii="宋体" w:hAnsi="宋体" w:eastAsia="宋体" w:cs="宋体"/>
          <w:sz w:val="24"/>
          <w:szCs w:val="24"/>
          <w:u w:val="single"/>
          <w:lang w:eastAsia="zh-CN" w:bidi="ar"/>
        </w:rPr>
        <w:t xml:space="preserve"> （联合体名称）</w:t>
      </w:r>
      <w:r>
        <w:rPr>
          <w:rFonts w:hint="eastAsia" w:ascii="宋体" w:hAnsi="宋体" w:eastAsia="宋体" w:cs="宋体"/>
          <w:sz w:val="24"/>
          <w:szCs w:val="24"/>
          <w:lang w:eastAsia="zh-CN" w:bidi="ar"/>
        </w:rPr>
        <w:t>联合体，共同参加</w:t>
      </w:r>
      <w:r>
        <w:rPr>
          <w:rFonts w:hint="eastAsia" w:ascii="宋体" w:hAnsi="宋体" w:eastAsia="宋体" w:cs="宋体"/>
          <w:sz w:val="24"/>
          <w:szCs w:val="24"/>
          <w:u w:val="single"/>
          <w:lang w:eastAsia="zh-CN" w:bidi="ar"/>
        </w:rPr>
        <w:t xml:space="preserve"> （招标人名称）</w:t>
      </w:r>
      <w:r>
        <w:rPr>
          <w:rFonts w:hint="eastAsia" w:ascii="宋体" w:hAnsi="宋体" w:eastAsia="宋体" w:cs="宋体"/>
          <w:sz w:val="24"/>
          <w:szCs w:val="24"/>
          <w:lang w:eastAsia="zh-CN" w:bidi="ar"/>
        </w:rPr>
        <w:t xml:space="preserve">（以下简称招标人） </w:t>
      </w:r>
      <w:r>
        <w:rPr>
          <w:rFonts w:hint="eastAsia" w:ascii="宋体" w:hAnsi="宋体" w:eastAsia="宋体" w:cs="宋体"/>
          <w:sz w:val="24"/>
          <w:szCs w:val="24"/>
          <w:u w:val="single"/>
          <w:lang w:eastAsia="zh-CN" w:bidi="ar"/>
        </w:rPr>
        <w:t>（项目名称）</w:t>
      </w:r>
      <w:r>
        <w:rPr>
          <w:rFonts w:hint="eastAsia" w:ascii="宋体" w:hAnsi="宋体" w:eastAsia="宋体" w:cs="宋体"/>
          <w:sz w:val="24"/>
          <w:szCs w:val="24"/>
          <w:lang w:eastAsia="zh-CN" w:bidi="ar"/>
        </w:rPr>
        <w:t xml:space="preserve">（以下简称本项目）设计、采购、施工总承包的投标并争取赢得本项目承揽合同（以下简称合同）。现就联合体投标事宜订立如下协议： </w:t>
      </w:r>
    </w:p>
    <w:p w14:paraId="16E979A0">
      <w:pPr>
        <w:rPr>
          <w:lang w:eastAsia="zh-CN"/>
        </w:rPr>
      </w:pPr>
      <w:r>
        <w:rPr>
          <w:rFonts w:hint="eastAsia" w:ascii="宋体" w:hAnsi="宋体" w:eastAsia="宋体" w:cs="宋体"/>
          <w:sz w:val="24"/>
          <w:szCs w:val="24"/>
          <w:lang w:eastAsia="zh-CN" w:bidi="ar"/>
        </w:rPr>
        <w:t xml:space="preserve">1． </w:t>
      </w:r>
      <w:r>
        <w:rPr>
          <w:rFonts w:hint="eastAsia" w:ascii="宋体" w:hAnsi="宋体" w:eastAsia="宋体" w:cs="宋体"/>
          <w:sz w:val="24"/>
          <w:szCs w:val="24"/>
          <w:u w:val="single"/>
          <w:lang w:eastAsia="zh-CN" w:bidi="ar"/>
        </w:rPr>
        <w:t>（某成员单位名称）</w:t>
      </w:r>
      <w:r>
        <w:rPr>
          <w:rFonts w:hint="eastAsia" w:ascii="宋体" w:hAnsi="宋体" w:eastAsia="宋体" w:cs="宋体"/>
          <w:sz w:val="24"/>
          <w:szCs w:val="24"/>
          <w:lang w:eastAsia="zh-CN" w:bidi="ar"/>
        </w:rPr>
        <w:t xml:space="preserve">为 </w:t>
      </w:r>
      <w:r>
        <w:rPr>
          <w:rFonts w:hint="eastAsia" w:ascii="宋体" w:hAnsi="宋体" w:eastAsia="宋体" w:cs="宋体"/>
          <w:sz w:val="24"/>
          <w:szCs w:val="24"/>
          <w:u w:val="single"/>
          <w:lang w:eastAsia="zh-CN" w:bidi="ar"/>
        </w:rPr>
        <w:t>（联合体名称）</w:t>
      </w:r>
      <w:r>
        <w:rPr>
          <w:rFonts w:hint="eastAsia" w:ascii="宋体" w:hAnsi="宋体" w:eastAsia="宋体" w:cs="宋体"/>
          <w:sz w:val="24"/>
          <w:szCs w:val="24"/>
          <w:lang w:eastAsia="zh-CN" w:bidi="ar"/>
        </w:rPr>
        <w:t xml:space="preserve">牵头人。 </w:t>
      </w:r>
    </w:p>
    <w:p w14:paraId="15EBA0CE">
      <w:pPr>
        <w:rPr>
          <w:lang w:eastAsia="zh-CN"/>
        </w:rPr>
      </w:pPr>
      <w:r>
        <w:rPr>
          <w:rFonts w:hint="eastAsia" w:ascii="宋体" w:hAnsi="宋体" w:eastAsia="宋体" w:cs="宋体"/>
          <w:sz w:val="24"/>
          <w:szCs w:val="24"/>
          <w:lang w:eastAsia="zh-CN" w:bidi="ar"/>
        </w:rPr>
        <w:t xml:space="preserve">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 </w:t>
      </w:r>
    </w:p>
    <w:p w14:paraId="0B84C2B9">
      <w:pPr>
        <w:rPr>
          <w:lang w:eastAsia="zh-CN"/>
        </w:rPr>
      </w:pPr>
      <w:r>
        <w:rPr>
          <w:rFonts w:hint="eastAsia" w:ascii="宋体" w:hAnsi="宋体" w:eastAsia="宋体" w:cs="宋体"/>
          <w:sz w:val="24"/>
          <w:szCs w:val="24"/>
          <w:lang w:eastAsia="zh-CN" w:bidi="ar"/>
        </w:rPr>
        <w:t xml:space="preserve">3． 联合体将严格按照招标文件的各项要求，递交投标文件，履行投标义务和中标后的合同，共同承担合同规定的一切义务和责任， 联合体各成员单位按照内部职责的部分，承担各自所负的责任和风险，并向招标人承担连带责任。 </w:t>
      </w:r>
    </w:p>
    <w:p w14:paraId="7F2EFC69">
      <w:pPr>
        <w:rPr>
          <w:lang w:eastAsia="zh-CN"/>
        </w:rPr>
      </w:pPr>
      <w:r>
        <w:rPr>
          <w:rFonts w:hint="eastAsia" w:ascii="宋体" w:hAnsi="宋体" w:eastAsia="宋体" w:cs="宋体"/>
          <w:sz w:val="24"/>
          <w:szCs w:val="24"/>
          <w:lang w:eastAsia="zh-CN" w:bidi="ar"/>
        </w:rPr>
        <w:t xml:space="preserve">4． 联合体各成员单位内部的职责分工如下： </w:t>
      </w:r>
    </w:p>
    <w:p w14:paraId="489633BE">
      <w:pPr>
        <w:rPr>
          <w:lang w:eastAsia="zh-CN"/>
        </w:rPr>
      </w:pPr>
      <w:r>
        <w:rPr>
          <w:rFonts w:hint="eastAsia" w:ascii="宋体" w:hAnsi="宋体" w:eastAsia="宋体" w:cs="宋体"/>
          <w:sz w:val="24"/>
          <w:szCs w:val="24"/>
          <w:lang w:eastAsia="zh-CN" w:bidi="ar"/>
        </w:rPr>
        <w:t xml:space="preserve">牵头人（成员一）名称： ，具有 资格，承担 ； </w:t>
      </w:r>
    </w:p>
    <w:p w14:paraId="454BD392">
      <w:pPr>
        <w:rPr>
          <w:lang w:eastAsia="zh-CN"/>
        </w:rPr>
      </w:pPr>
      <w:r>
        <w:rPr>
          <w:rFonts w:hint="eastAsia" w:ascii="宋体" w:hAnsi="宋体" w:eastAsia="宋体" w:cs="宋体"/>
          <w:sz w:val="24"/>
          <w:szCs w:val="24"/>
          <w:lang w:eastAsia="zh-CN" w:bidi="ar"/>
        </w:rPr>
        <w:t xml:space="preserve">成员二名称： ，具有 资格，承担 ； </w:t>
      </w:r>
    </w:p>
    <w:p w14:paraId="09004FD3">
      <w:pPr>
        <w:rPr>
          <w:lang w:eastAsia="zh-CN"/>
        </w:rPr>
      </w:pPr>
      <w:r>
        <w:rPr>
          <w:rFonts w:hint="eastAsia" w:ascii="宋体" w:hAnsi="宋体" w:eastAsia="宋体" w:cs="宋体"/>
          <w:sz w:val="24"/>
          <w:szCs w:val="24"/>
          <w:lang w:eastAsia="zh-CN" w:bidi="ar"/>
        </w:rPr>
        <w:t xml:space="preserve">成员三名称： ，具有 资格，承担 ； </w:t>
      </w:r>
    </w:p>
    <w:p w14:paraId="6C030593">
      <w:pPr>
        <w:rPr>
          <w:lang w:eastAsia="zh-CN"/>
        </w:rPr>
      </w:pPr>
      <w:r>
        <w:rPr>
          <w:rFonts w:hint="eastAsia" w:ascii="宋体" w:hAnsi="宋体" w:eastAsia="宋体" w:cs="宋体"/>
          <w:sz w:val="24"/>
          <w:szCs w:val="24"/>
          <w:lang w:eastAsia="zh-CN" w:bidi="ar"/>
        </w:rPr>
        <w:t xml:space="preserve">5．投标工作和联合体在中标后工程实施过程中的有关费用按各自承担的工作量分摊。联合体中标后，本联合体协议是合同的附件，对联合体各成员单位有合同约束力。 </w:t>
      </w:r>
    </w:p>
    <w:p w14:paraId="4AF9D3E2">
      <w:pPr>
        <w:rPr>
          <w:lang w:eastAsia="zh-CN"/>
        </w:rPr>
      </w:pPr>
      <w:r>
        <w:rPr>
          <w:rFonts w:hint="eastAsia" w:ascii="宋体" w:hAnsi="宋体" w:eastAsia="宋体" w:cs="宋体"/>
          <w:sz w:val="24"/>
          <w:szCs w:val="24"/>
          <w:lang w:eastAsia="zh-CN" w:bidi="ar"/>
        </w:rPr>
        <w:t xml:space="preserve">6． 本协议书自签署之日起生效，联合体未中标或者合同履行完毕后自动失效。 </w:t>
      </w:r>
    </w:p>
    <w:p w14:paraId="6D426C20">
      <w:pPr>
        <w:rPr>
          <w:lang w:eastAsia="zh-CN"/>
        </w:rPr>
      </w:pPr>
      <w:r>
        <w:rPr>
          <w:rFonts w:hint="eastAsia" w:ascii="宋体" w:hAnsi="宋体" w:eastAsia="宋体" w:cs="宋体"/>
          <w:sz w:val="24"/>
          <w:szCs w:val="24"/>
          <w:lang w:eastAsia="zh-CN" w:bidi="ar"/>
        </w:rPr>
        <w:t>7． 本协议书一式  份， 联合体成员和招标人各执一份。</w:t>
      </w:r>
      <w:r>
        <w:rPr>
          <w:rFonts w:ascii="Times New Roman" w:hAnsi="Times New Roman" w:eastAsia="宋体" w:cs="Times New Roman"/>
          <w:lang w:eastAsia="zh-CN" w:bidi="ar"/>
        </w:rPr>
        <w:t xml:space="preserve"> </w:t>
      </w:r>
    </w:p>
    <w:p w14:paraId="283AFE77">
      <w:pPr>
        <w:rPr>
          <w:lang w:eastAsia="zh-CN"/>
        </w:rPr>
      </w:pPr>
      <w:r>
        <w:rPr>
          <w:rFonts w:hint="eastAsia" w:ascii="宋体" w:hAnsi="宋体" w:eastAsia="宋体" w:cs="宋体"/>
          <w:sz w:val="24"/>
          <w:szCs w:val="24"/>
          <w:lang w:eastAsia="zh-CN" w:bidi="ar"/>
        </w:rPr>
        <w:t xml:space="preserve">牵头人（成员一）名称： （盖单位章） </w:t>
      </w:r>
    </w:p>
    <w:p w14:paraId="7A40D200">
      <w:pPr>
        <w:rPr>
          <w:lang w:eastAsia="zh-CN"/>
        </w:rPr>
      </w:pPr>
      <w:r>
        <w:rPr>
          <w:rFonts w:hint="eastAsia" w:ascii="宋体" w:hAnsi="宋体" w:eastAsia="宋体" w:cs="宋体"/>
          <w:sz w:val="24"/>
          <w:szCs w:val="24"/>
          <w:lang w:eastAsia="zh-CN" w:bidi="ar"/>
        </w:rPr>
        <w:t xml:space="preserve">法定代表人： （签字或盖章） </w:t>
      </w:r>
    </w:p>
    <w:p w14:paraId="23C541BD">
      <w:pPr>
        <w:rPr>
          <w:lang w:eastAsia="zh-CN"/>
        </w:rPr>
      </w:pPr>
      <w:r>
        <w:rPr>
          <w:rFonts w:hint="eastAsia" w:ascii="宋体" w:hAnsi="宋体" w:eastAsia="宋体" w:cs="宋体"/>
          <w:sz w:val="24"/>
          <w:szCs w:val="24"/>
          <w:lang w:eastAsia="zh-CN" w:bidi="ar"/>
        </w:rPr>
        <w:t xml:space="preserve">成员二名称： （盖单位章） </w:t>
      </w:r>
    </w:p>
    <w:p w14:paraId="6177AD53">
      <w:pPr>
        <w:rPr>
          <w:lang w:eastAsia="zh-CN"/>
        </w:rPr>
      </w:pPr>
      <w:r>
        <w:rPr>
          <w:rFonts w:hint="eastAsia" w:ascii="宋体" w:hAnsi="宋体" w:eastAsia="宋体" w:cs="宋体"/>
          <w:sz w:val="24"/>
          <w:szCs w:val="24"/>
          <w:lang w:eastAsia="zh-CN" w:bidi="ar"/>
        </w:rPr>
        <w:t xml:space="preserve">法定代表人： （签字或盖章） </w:t>
      </w:r>
    </w:p>
    <w:p w14:paraId="474135CC">
      <w:pPr>
        <w:rPr>
          <w:lang w:eastAsia="zh-CN"/>
        </w:rPr>
      </w:pPr>
      <w:r>
        <w:rPr>
          <w:rFonts w:hint="eastAsia" w:ascii="宋体" w:hAnsi="宋体" w:eastAsia="宋体" w:cs="宋体"/>
          <w:sz w:val="24"/>
          <w:szCs w:val="24"/>
          <w:lang w:eastAsia="zh-CN" w:bidi="ar"/>
        </w:rPr>
        <w:t xml:space="preserve">成员三名称： （盖单位章） </w:t>
      </w:r>
    </w:p>
    <w:p w14:paraId="2BB9BB7C">
      <w:pPr>
        <w:rPr>
          <w:lang w:eastAsia="zh-CN"/>
        </w:rPr>
      </w:pPr>
      <w:r>
        <w:rPr>
          <w:rFonts w:hint="eastAsia" w:ascii="宋体" w:hAnsi="宋体" w:eastAsia="宋体" w:cs="宋体"/>
          <w:sz w:val="24"/>
          <w:szCs w:val="24"/>
          <w:lang w:eastAsia="zh-CN" w:bidi="ar"/>
        </w:rPr>
        <w:t xml:space="preserve">法定代表人： （签字或盖章） </w:t>
      </w:r>
    </w:p>
    <w:p w14:paraId="0F5A5EDD">
      <w:pPr>
        <w:jc w:val="right"/>
        <w:rPr>
          <w:lang w:eastAsia="zh-CN"/>
        </w:rPr>
      </w:pPr>
      <w:r>
        <w:rPr>
          <w:rFonts w:hint="eastAsia" w:ascii="宋体" w:hAnsi="宋体" w:eastAsia="宋体" w:cs="宋体"/>
          <w:sz w:val="24"/>
          <w:szCs w:val="24"/>
          <w:lang w:eastAsia="zh-CN" w:bidi="ar"/>
        </w:rPr>
        <w:t>年 月 日</w:t>
      </w:r>
    </w:p>
    <w:p w14:paraId="18F5FD75">
      <w:pPr>
        <w:spacing w:before="79" w:line="219" w:lineRule="auto"/>
        <w:ind w:left="23"/>
        <w:rPr>
          <w:rFonts w:hint="eastAsia" w:ascii="宋体" w:hAnsi="宋体" w:eastAsia="宋体" w:cs="宋体"/>
          <w:sz w:val="24"/>
          <w:szCs w:val="24"/>
          <w:lang w:eastAsia="zh-CN"/>
        </w:rPr>
      </w:pPr>
    </w:p>
    <w:p w14:paraId="30093BAF">
      <w:pPr>
        <w:widowControl w:val="0"/>
        <w:spacing w:line="254" w:lineRule="auto"/>
        <w:rPr>
          <w:lang w:eastAsia="zh-CN"/>
        </w:rPr>
      </w:pPr>
    </w:p>
    <w:p w14:paraId="6D437BAB">
      <w:pPr>
        <w:widowControl w:val="0"/>
        <w:spacing w:line="254" w:lineRule="auto"/>
        <w:rPr>
          <w:lang w:eastAsia="zh-CN"/>
        </w:rPr>
      </w:pPr>
    </w:p>
    <w:p w14:paraId="50EC39D1">
      <w:pPr>
        <w:rPr>
          <w:lang w:eastAsia="zh-CN"/>
        </w:rPr>
      </w:pPr>
    </w:p>
    <w:p w14:paraId="1172F9F2">
      <w:pPr>
        <w:widowControl w:val="0"/>
        <w:spacing w:line="254" w:lineRule="auto"/>
        <w:rPr>
          <w:lang w:eastAsia="zh-CN"/>
        </w:rPr>
      </w:pPr>
    </w:p>
    <w:p w14:paraId="02EB656D">
      <w:pPr>
        <w:widowControl w:val="0"/>
        <w:spacing w:line="254" w:lineRule="auto"/>
        <w:rPr>
          <w:lang w:eastAsia="zh-CN"/>
        </w:rPr>
      </w:pPr>
    </w:p>
    <w:p w14:paraId="1B9EB608">
      <w:pPr>
        <w:spacing w:before="102" w:line="224" w:lineRule="auto"/>
        <w:ind w:left="1770"/>
        <w:rPr>
          <w:rFonts w:hint="eastAsia" w:ascii="宋体" w:hAnsi="宋体" w:eastAsia="宋体" w:cs="宋体"/>
          <w:sz w:val="31"/>
          <w:szCs w:val="31"/>
          <w:lang w:eastAsia="zh-CN"/>
        </w:rPr>
      </w:pPr>
      <w:r>
        <w:rPr>
          <w:rFonts w:ascii="宋体" w:hAnsi="宋体" w:eastAsia="宋体" w:cs="宋体"/>
          <w:b/>
          <w:bCs/>
          <w:spacing w:val="5"/>
          <w:sz w:val="31"/>
          <w:szCs w:val="31"/>
          <w:lang w:eastAsia="zh-CN"/>
        </w:rPr>
        <w:t>联合体授权委托书（联合体采用）</w:t>
      </w:r>
    </w:p>
    <w:p w14:paraId="32BA0390">
      <w:pPr>
        <w:widowControl w:val="0"/>
        <w:spacing w:line="294" w:lineRule="auto"/>
        <w:rPr>
          <w:lang w:eastAsia="zh-CN"/>
        </w:rPr>
      </w:pPr>
    </w:p>
    <w:p w14:paraId="25276DB3">
      <w:pPr>
        <w:widowControl w:val="0"/>
        <w:spacing w:line="295" w:lineRule="auto"/>
        <w:rPr>
          <w:lang w:eastAsia="zh-CN"/>
        </w:rPr>
      </w:pPr>
    </w:p>
    <w:p w14:paraId="74A84351">
      <w:pPr>
        <w:widowControl w:val="0"/>
        <w:spacing w:line="295" w:lineRule="auto"/>
        <w:rPr>
          <w:lang w:eastAsia="zh-CN"/>
        </w:rPr>
      </w:pPr>
    </w:p>
    <w:p w14:paraId="762B6BB7">
      <w:pPr>
        <w:spacing w:before="78" w:line="416" w:lineRule="auto"/>
        <w:ind w:left="87" w:right="74" w:firstLine="479"/>
        <w:jc w:val="both"/>
        <w:rPr>
          <w:rFonts w:hint="eastAsia" w:ascii="宋体" w:hAnsi="宋体" w:eastAsia="宋体" w:cs="宋体"/>
          <w:sz w:val="24"/>
          <w:szCs w:val="24"/>
          <w:lang w:eastAsia="zh-CN"/>
        </w:rPr>
      </w:pPr>
      <w:r>
        <w:rPr>
          <w:rFonts w:ascii="宋体" w:hAnsi="宋体" w:eastAsia="宋体" w:cs="宋体"/>
          <w:spacing w:val="-7"/>
          <w:sz w:val="24"/>
          <w:szCs w:val="24"/>
          <w:lang w:eastAsia="zh-CN"/>
        </w:rPr>
        <w:t>本授权委托书声明：我</w:t>
      </w:r>
      <w:r>
        <w:rPr>
          <w:rFonts w:ascii="宋体" w:hAnsi="宋体" w:eastAsia="宋体" w:cs="宋体"/>
          <w:spacing w:val="-7"/>
          <w:sz w:val="24"/>
          <w:szCs w:val="24"/>
          <w:u w:val="single"/>
          <w:lang w:eastAsia="zh-CN"/>
        </w:rPr>
        <w:t>（姓名）</w:t>
      </w:r>
      <w:r>
        <w:rPr>
          <w:rFonts w:ascii="宋体" w:hAnsi="宋体" w:eastAsia="宋体" w:cs="宋体"/>
          <w:spacing w:val="-7"/>
          <w:sz w:val="24"/>
          <w:szCs w:val="24"/>
          <w:lang w:eastAsia="zh-CN"/>
        </w:rPr>
        <w:t>是</w:t>
      </w:r>
      <w:r>
        <w:rPr>
          <w:rFonts w:ascii="宋体" w:hAnsi="宋体" w:eastAsia="宋体" w:cs="宋体"/>
          <w:spacing w:val="-7"/>
          <w:sz w:val="24"/>
          <w:szCs w:val="24"/>
          <w:u w:val="single"/>
          <w:lang w:eastAsia="zh-CN"/>
        </w:rPr>
        <w:t>（联合体牵头人）</w:t>
      </w:r>
      <w:r>
        <w:rPr>
          <w:rFonts w:ascii="宋体" w:hAnsi="宋体" w:eastAsia="宋体" w:cs="宋体"/>
          <w:spacing w:val="-7"/>
          <w:sz w:val="24"/>
          <w:szCs w:val="24"/>
          <w:lang w:eastAsia="zh-CN"/>
        </w:rPr>
        <w:t>的法定</w:t>
      </w:r>
      <w:r>
        <w:rPr>
          <w:rFonts w:ascii="宋体" w:hAnsi="宋体" w:eastAsia="宋体" w:cs="宋体"/>
          <w:spacing w:val="-8"/>
          <w:sz w:val="24"/>
          <w:szCs w:val="24"/>
          <w:lang w:eastAsia="zh-CN"/>
        </w:rPr>
        <w:t>代表人，我</w:t>
      </w:r>
      <w:r>
        <w:rPr>
          <w:rFonts w:ascii="宋体" w:hAnsi="宋体" w:eastAsia="宋体" w:cs="宋体"/>
          <w:spacing w:val="-8"/>
          <w:sz w:val="24"/>
          <w:szCs w:val="24"/>
          <w:u w:val="single"/>
          <w:lang w:eastAsia="zh-CN"/>
        </w:rPr>
        <w:t>（姓</w:t>
      </w:r>
      <w:r>
        <w:rPr>
          <w:rFonts w:ascii="宋体" w:hAnsi="宋体" w:eastAsia="宋体" w:cs="宋体"/>
          <w:sz w:val="24"/>
          <w:szCs w:val="24"/>
          <w:u w:val="single"/>
          <w:lang w:eastAsia="zh-CN"/>
        </w:rPr>
        <w:t>名）</w:t>
      </w:r>
      <w:r>
        <w:rPr>
          <w:rFonts w:ascii="宋体" w:hAnsi="宋体" w:eastAsia="宋体" w:cs="宋体"/>
          <w:sz w:val="24"/>
          <w:szCs w:val="24"/>
          <w:lang w:eastAsia="zh-CN"/>
        </w:rPr>
        <w:t>是（联合体成员名称）的法定代表人，现共同授权委托（</w:t>
      </w:r>
      <w:r>
        <w:rPr>
          <w:rFonts w:ascii="宋体" w:hAnsi="宋体" w:eastAsia="宋体" w:cs="宋体"/>
          <w:spacing w:val="-1"/>
          <w:sz w:val="24"/>
          <w:szCs w:val="24"/>
          <w:lang w:eastAsia="zh-CN"/>
        </w:rPr>
        <w:t>联合体牵头人）</w:t>
      </w:r>
      <w:r>
        <w:rPr>
          <w:rFonts w:ascii="宋体" w:hAnsi="宋体" w:eastAsia="宋体" w:cs="宋体"/>
          <w:sz w:val="24"/>
          <w:szCs w:val="24"/>
          <w:lang w:eastAsia="zh-CN"/>
        </w:rPr>
        <w:t>的（法定代表人或委托代理人）为我们所组成投标联合体参加</w:t>
      </w:r>
      <w:r>
        <w:rPr>
          <w:rFonts w:ascii="宋体" w:hAnsi="宋体" w:eastAsia="宋体" w:cs="宋体"/>
          <w:sz w:val="24"/>
          <w:szCs w:val="24"/>
          <w:u w:val="single"/>
          <w:lang w:eastAsia="zh-CN"/>
        </w:rPr>
        <w:t>（项目名称）</w:t>
      </w:r>
      <w:r>
        <w:rPr>
          <w:rFonts w:ascii="宋体" w:hAnsi="宋体" w:eastAsia="宋体" w:cs="宋体"/>
          <w:sz w:val="24"/>
          <w:szCs w:val="24"/>
          <w:lang w:eastAsia="zh-CN"/>
        </w:rPr>
        <w:t>项目投标的委托代理人。委托代理人在本项目招标、投标、评标、合同签署等活动过程中所签署的一切文件和处理与之有关的一切事务，均为代表本联合体的</w:t>
      </w:r>
      <w:r>
        <w:rPr>
          <w:rFonts w:ascii="宋体" w:hAnsi="宋体" w:eastAsia="宋体" w:cs="宋体"/>
          <w:spacing w:val="-2"/>
          <w:sz w:val="24"/>
          <w:szCs w:val="24"/>
          <w:lang w:eastAsia="zh-CN"/>
        </w:rPr>
        <w:t>行为，本联合体将承担委托代理人行为的一切法律责任和后果。</w:t>
      </w:r>
    </w:p>
    <w:p w14:paraId="7AD03DE5">
      <w:pPr>
        <w:spacing w:before="57" w:line="219" w:lineRule="auto"/>
        <w:ind w:left="2855"/>
        <w:rPr>
          <w:rFonts w:hint="eastAsia" w:ascii="宋体" w:hAnsi="宋体" w:eastAsia="宋体" w:cs="宋体"/>
          <w:sz w:val="24"/>
          <w:szCs w:val="24"/>
          <w:lang w:eastAsia="zh-CN"/>
        </w:rPr>
      </w:pPr>
      <w:r>
        <w:rPr>
          <w:rFonts w:ascii="宋体" w:hAnsi="宋体" w:eastAsia="宋体" w:cs="宋体"/>
          <w:spacing w:val="-2"/>
          <w:sz w:val="24"/>
          <w:szCs w:val="24"/>
          <w:lang w:eastAsia="zh-CN"/>
        </w:rPr>
        <w:t>委托代理人</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签字或盖章）</w:t>
      </w:r>
    </w:p>
    <w:p w14:paraId="21E3621E">
      <w:pPr>
        <w:spacing w:before="318" w:line="219" w:lineRule="auto"/>
        <w:ind w:left="2977"/>
        <w:rPr>
          <w:rFonts w:hint="eastAsia" w:ascii="宋体" w:hAnsi="宋体" w:eastAsia="宋体" w:cs="宋体"/>
          <w:sz w:val="24"/>
          <w:szCs w:val="24"/>
          <w:lang w:eastAsia="zh-CN"/>
        </w:rPr>
      </w:pPr>
      <w:r>
        <w:rPr>
          <w:rFonts w:ascii="宋体" w:hAnsi="宋体" w:eastAsia="宋体" w:cs="宋体"/>
          <w:spacing w:val="-2"/>
          <w:sz w:val="24"/>
          <w:szCs w:val="24"/>
          <w:lang w:eastAsia="zh-CN"/>
        </w:rPr>
        <w:t>联合体牵头人</w:t>
      </w:r>
      <w:r>
        <w:rPr>
          <w:rFonts w:ascii="宋体" w:hAnsi="宋体" w:eastAsia="宋体" w:cs="宋体"/>
          <w:spacing w:val="-3"/>
          <w:sz w:val="24"/>
          <w:szCs w:val="24"/>
          <w:lang w:eastAsia="zh-CN"/>
        </w:rPr>
        <w:t>：（</w:t>
      </w:r>
      <w:r>
        <w:rPr>
          <w:rFonts w:ascii="宋体" w:hAnsi="宋体" w:eastAsia="宋体" w:cs="宋体"/>
          <w:spacing w:val="-2"/>
          <w:sz w:val="24"/>
          <w:szCs w:val="24"/>
          <w:lang w:eastAsia="zh-CN"/>
        </w:rPr>
        <w:t>盖公章）</w:t>
      </w:r>
    </w:p>
    <w:p w14:paraId="2B37F057">
      <w:pPr>
        <w:spacing w:before="317" w:line="219" w:lineRule="auto"/>
        <w:ind w:left="2857"/>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法定代表人：（签字或盖章）</w:t>
      </w:r>
    </w:p>
    <w:p w14:paraId="1C0C1279">
      <w:pPr>
        <w:spacing w:before="315" w:line="219" w:lineRule="auto"/>
        <w:ind w:left="2617"/>
        <w:rPr>
          <w:rFonts w:hint="eastAsia" w:ascii="宋体" w:hAnsi="宋体" w:eastAsia="宋体" w:cs="宋体"/>
          <w:sz w:val="24"/>
          <w:szCs w:val="24"/>
          <w:lang w:eastAsia="zh-CN"/>
        </w:rPr>
      </w:pPr>
      <w:r>
        <w:rPr>
          <w:rFonts w:ascii="宋体" w:hAnsi="宋体" w:eastAsia="宋体" w:cs="宋体"/>
          <w:spacing w:val="-2"/>
          <w:sz w:val="24"/>
          <w:szCs w:val="24"/>
          <w:lang w:eastAsia="zh-CN"/>
        </w:rPr>
        <w:t>联合体成员单位名称</w:t>
      </w:r>
      <w:r>
        <w:rPr>
          <w:rFonts w:ascii="宋体" w:hAnsi="宋体" w:eastAsia="宋体" w:cs="宋体"/>
          <w:sz w:val="24"/>
          <w:szCs w:val="24"/>
          <w:lang w:eastAsia="zh-CN"/>
        </w:rPr>
        <w:t>：（</w:t>
      </w:r>
      <w:r>
        <w:rPr>
          <w:rFonts w:ascii="宋体" w:hAnsi="宋体" w:eastAsia="宋体" w:cs="宋体"/>
          <w:spacing w:val="-2"/>
          <w:sz w:val="24"/>
          <w:szCs w:val="24"/>
          <w:lang w:eastAsia="zh-CN"/>
        </w:rPr>
        <w:t>盖公章）</w:t>
      </w:r>
    </w:p>
    <w:p w14:paraId="162D6FC5">
      <w:pPr>
        <w:spacing w:before="317" w:line="219" w:lineRule="auto"/>
        <w:ind w:left="2857"/>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法定代表人：（签字或盖章）</w:t>
      </w:r>
    </w:p>
    <w:p w14:paraId="68259ACD">
      <w:pPr>
        <w:spacing w:before="318" w:line="219" w:lineRule="auto"/>
        <w:ind w:left="2617"/>
        <w:rPr>
          <w:rFonts w:hint="eastAsia" w:ascii="宋体" w:hAnsi="宋体" w:eastAsia="宋体" w:cs="宋体"/>
          <w:sz w:val="24"/>
          <w:szCs w:val="24"/>
          <w:lang w:eastAsia="zh-CN"/>
        </w:rPr>
      </w:pPr>
      <w:r>
        <w:rPr>
          <w:rFonts w:ascii="宋体" w:hAnsi="宋体" w:eastAsia="宋体" w:cs="宋体"/>
          <w:spacing w:val="-2"/>
          <w:sz w:val="24"/>
          <w:szCs w:val="24"/>
          <w:lang w:eastAsia="zh-CN"/>
        </w:rPr>
        <w:t>联合体成员单位名称</w:t>
      </w:r>
      <w:r>
        <w:rPr>
          <w:rFonts w:ascii="宋体" w:hAnsi="宋体" w:eastAsia="宋体" w:cs="宋体"/>
          <w:sz w:val="24"/>
          <w:szCs w:val="24"/>
          <w:lang w:eastAsia="zh-CN"/>
        </w:rPr>
        <w:t>：（</w:t>
      </w:r>
      <w:r>
        <w:rPr>
          <w:rFonts w:ascii="宋体" w:hAnsi="宋体" w:eastAsia="宋体" w:cs="宋体"/>
          <w:spacing w:val="-2"/>
          <w:sz w:val="24"/>
          <w:szCs w:val="24"/>
          <w:lang w:eastAsia="zh-CN"/>
        </w:rPr>
        <w:t>盖公章）</w:t>
      </w:r>
    </w:p>
    <w:p w14:paraId="05B09A32">
      <w:pPr>
        <w:spacing w:before="318" w:line="219" w:lineRule="auto"/>
        <w:ind w:left="2857"/>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法定代表人：（签字或盖章）</w:t>
      </w:r>
    </w:p>
    <w:p w14:paraId="63181CF8">
      <w:pPr>
        <w:widowControl w:val="0"/>
        <w:spacing w:line="246" w:lineRule="auto"/>
        <w:rPr>
          <w:lang w:eastAsia="zh-CN"/>
        </w:rPr>
      </w:pPr>
    </w:p>
    <w:p w14:paraId="2F1C47C3">
      <w:pPr>
        <w:widowControl w:val="0"/>
        <w:spacing w:line="246" w:lineRule="auto"/>
        <w:rPr>
          <w:lang w:eastAsia="zh-CN"/>
        </w:rPr>
      </w:pPr>
    </w:p>
    <w:p w14:paraId="6AF9CC5E">
      <w:pPr>
        <w:widowControl w:val="0"/>
        <w:spacing w:line="246" w:lineRule="auto"/>
        <w:rPr>
          <w:lang w:eastAsia="zh-CN"/>
        </w:rPr>
      </w:pPr>
    </w:p>
    <w:p w14:paraId="0C222BC3">
      <w:pPr>
        <w:widowControl w:val="0"/>
        <w:spacing w:line="246" w:lineRule="auto"/>
        <w:rPr>
          <w:lang w:eastAsia="zh-CN"/>
        </w:rPr>
      </w:pPr>
    </w:p>
    <w:p w14:paraId="15F583D3">
      <w:pPr>
        <w:widowControl w:val="0"/>
        <w:spacing w:line="246" w:lineRule="auto"/>
        <w:rPr>
          <w:lang w:eastAsia="zh-CN"/>
        </w:rPr>
      </w:pPr>
    </w:p>
    <w:p w14:paraId="06CF0109">
      <w:pPr>
        <w:spacing w:before="78" w:line="220" w:lineRule="auto"/>
        <w:ind w:right="23"/>
        <w:jc w:val="right"/>
        <w:rPr>
          <w:rFonts w:hint="eastAsia" w:ascii="宋体" w:hAnsi="宋体" w:eastAsia="宋体" w:cs="宋体"/>
          <w:spacing w:val="-9"/>
          <w:sz w:val="24"/>
          <w:szCs w:val="24"/>
          <w:lang w:eastAsia="zh-CN"/>
        </w:rPr>
      </w:pPr>
      <w:r>
        <w:rPr>
          <w:rFonts w:ascii="宋体" w:hAnsi="宋体" w:eastAsia="宋体" w:cs="宋体"/>
          <w:spacing w:val="-9"/>
          <w:sz w:val="24"/>
          <w:szCs w:val="24"/>
          <w:lang w:eastAsia="zh-CN"/>
        </w:rPr>
        <w:t>年月日</w:t>
      </w:r>
    </w:p>
    <w:p w14:paraId="4E675F68">
      <w:pPr>
        <w:spacing w:before="78" w:line="220" w:lineRule="auto"/>
        <w:ind w:right="23"/>
        <w:jc w:val="right"/>
        <w:rPr>
          <w:rFonts w:hint="eastAsia" w:ascii="宋体" w:hAnsi="宋体" w:eastAsia="宋体" w:cs="宋体"/>
          <w:spacing w:val="-9"/>
          <w:sz w:val="24"/>
          <w:szCs w:val="24"/>
          <w:lang w:eastAsia="zh-CN"/>
        </w:rPr>
      </w:pPr>
    </w:p>
    <w:p w14:paraId="6EC3E7E7">
      <w:pPr>
        <w:rPr>
          <w:rFonts w:hint="eastAsia" w:ascii="宋体" w:hAnsi="宋体" w:eastAsia="宋体" w:cs="宋体"/>
          <w:spacing w:val="-9"/>
          <w:sz w:val="24"/>
          <w:szCs w:val="24"/>
          <w:lang w:eastAsia="zh-CN"/>
        </w:rPr>
      </w:pPr>
      <w:r>
        <w:rPr>
          <w:rFonts w:ascii="宋体" w:hAnsi="宋体" w:eastAsia="宋体" w:cs="宋体"/>
          <w:spacing w:val="-9"/>
          <w:sz w:val="24"/>
          <w:szCs w:val="24"/>
          <w:lang w:eastAsia="zh-CN"/>
        </w:rPr>
        <w:br w:type="page"/>
      </w:r>
    </w:p>
    <w:p w14:paraId="6CA481ED">
      <w:pPr>
        <w:widowControl w:val="0"/>
        <w:spacing w:line="248" w:lineRule="auto"/>
        <w:rPr>
          <w:lang w:eastAsia="zh-CN"/>
        </w:rPr>
      </w:pPr>
    </w:p>
    <w:p w14:paraId="7E19486C">
      <w:pPr>
        <w:widowControl w:val="0"/>
        <w:spacing w:line="248" w:lineRule="auto"/>
        <w:rPr>
          <w:lang w:eastAsia="zh-CN"/>
        </w:rPr>
      </w:pPr>
    </w:p>
    <w:p w14:paraId="2AFC43A8">
      <w:pPr>
        <w:spacing w:before="91" w:line="219" w:lineRule="auto"/>
        <w:ind w:left="2350"/>
        <w:rPr>
          <w:rFonts w:hint="eastAsia" w:ascii="宋体" w:hAnsi="宋体" w:eastAsia="宋体" w:cs="宋体"/>
          <w:sz w:val="28"/>
          <w:szCs w:val="28"/>
          <w:lang w:eastAsia="zh-CN"/>
        </w:rPr>
      </w:pPr>
      <w:r>
        <w:rPr>
          <w:rFonts w:ascii="宋体" w:hAnsi="宋体" w:eastAsia="宋体" w:cs="宋体"/>
          <w:b/>
          <w:bCs/>
          <w:spacing w:val="-4"/>
          <w:sz w:val="28"/>
          <w:szCs w:val="28"/>
          <w:lang w:eastAsia="zh-CN"/>
        </w:rPr>
        <w:t>授权委托书（非联合体采用）</w:t>
      </w:r>
    </w:p>
    <w:p w14:paraId="2ABC5794">
      <w:pPr>
        <w:widowControl w:val="0"/>
        <w:spacing w:line="323" w:lineRule="auto"/>
        <w:rPr>
          <w:lang w:eastAsia="zh-CN"/>
        </w:rPr>
      </w:pPr>
    </w:p>
    <w:p w14:paraId="1678908D">
      <w:pPr>
        <w:spacing w:before="78" w:line="417" w:lineRule="auto"/>
        <w:ind w:left="23" w:right="12" w:firstLine="48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本授权委托书声明：我（姓名）系</w:t>
      </w:r>
      <w:r>
        <w:rPr>
          <w:rFonts w:ascii="宋体" w:hAnsi="宋体" w:eastAsia="宋体" w:cs="宋体"/>
          <w:spacing w:val="-3"/>
          <w:sz w:val="24"/>
          <w:szCs w:val="24"/>
          <w:u w:val="single"/>
          <w:lang w:eastAsia="zh-CN"/>
        </w:rPr>
        <w:t>（投标人名称）</w:t>
      </w:r>
      <w:r>
        <w:rPr>
          <w:rFonts w:ascii="宋体" w:hAnsi="宋体" w:eastAsia="宋体" w:cs="宋体"/>
          <w:spacing w:val="-3"/>
          <w:sz w:val="24"/>
          <w:szCs w:val="24"/>
          <w:lang w:eastAsia="zh-CN"/>
        </w:rPr>
        <w:t>的法定代表</w:t>
      </w:r>
      <w:r>
        <w:rPr>
          <w:rFonts w:ascii="宋体" w:hAnsi="宋体" w:eastAsia="宋体" w:cs="宋体"/>
          <w:spacing w:val="-4"/>
          <w:sz w:val="24"/>
          <w:szCs w:val="24"/>
          <w:lang w:eastAsia="zh-CN"/>
        </w:rPr>
        <w:t>人，现授权委</w:t>
      </w:r>
      <w:r>
        <w:rPr>
          <w:rFonts w:ascii="宋体" w:hAnsi="宋体" w:eastAsia="宋体" w:cs="宋体"/>
          <w:spacing w:val="-3"/>
          <w:sz w:val="24"/>
          <w:szCs w:val="24"/>
          <w:lang w:eastAsia="zh-CN"/>
        </w:rPr>
        <w:t>托</w:t>
      </w:r>
      <w:r>
        <w:rPr>
          <w:rFonts w:ascii="宋体" w:hAnsi="宋体" w:eastAsia="宋体" w:cs="宋体"/>
          <w:spacing w:val="-3"/>
          <w:sz w:val="24"/>
          <w:szCs w:val="24"/>
          <w:u w:val="single"/>
          <w:lang w:eastAsia="zh-CN"/>
        </w:rPr>
        <w:t>（单位名称）</w:t>
      </w:r>
      <w:r>
        <w:rPr>
          <w:rFonts w:ascii="宋体" w:hAnsi="宋体" w:eastAsia="宋体" w:cs="宋体"/>
          <w:spacing w:val="-3"/>
          <w:sz w:val="24"/>
          <w:szCs w:val="24"/>
          <w:lang w:eastAsia="zh-CN"/>
        </w:rPr>
        <w:t>的</w:t>
      </w:r>
      <w:r>
        <w:rPr>
          <w:rFonts w:ascii="宋体" w:hAnsi="宋体" w:eastAsia="宋体" w:cs="宋体"/>
          <w:spacing w:val="-3"/>
          <w:sz w:val="24"/>
          <w:szCs w:val="24"/>
          <w:u w:val="single"/>
          <w:lang w:eastAsia="zh-CN"/>
        </w:rPr>
        <w:t>（姓名）</w:t>
      </w:r>
      <w:r>
        <w:rPr>
          <w:rFonts w:ascii="宋体" w:hAnsi="宋体" w:eastAsia="宋体" w:cs="宋体"/>
          <w:spacing w:val="-3"/>
          <w:sz w:val="24"/>
          <w:szCs w:val="24"/>
          <w:lang w:eastAsia="zh-CN"/>
        </w:rPr>
        <w:t>为我公司的合法代理人，就（合同名称）的投标、施</w:t>
      </w:r>
      <w:r>
        <w:rPr>
          <w:rFonts w:ascii="宋体" w:hAnsi="宋体" w:eastAsia="宋体" w:cs="宋体"/>
          <w:spacing w:val="-7"/>
          <w:sz w:val="24"/>
          <w:szCs w:val="24"/>
          <w:lang w:eastAsia="zh-CN"/>
        </w:rPr>
        <w:t>工、竣工和保修，以本公司的名义签署投标书</w:t>
      </w:r>
      <w:r>
        <w:rPr>
          <w:rFonts w:ascii="宋体" w:hAnsi="宋体" w:eastAsia="宋体" w:cs="宋体"/>
          <w:spacing w:val="-8"/>
          <w:sz w:val="24"/>
          <w:szCs w:val="24"/>
          <w:lang w:eastAsia="zh-CN"/>
        </w:rPr>
        <w:t>，解释投标文件，进行谈判、签署</w:t>
      </w:r>
      <w:r>
        <w:rPr>
          <w:rFonts w:ascii="宋体" w:hAnsi="宋体" w:eastAsia="宋体" w:cs="宋体"/>
          <w:spacing w:val="-3"/>
          <w:sz w:val="24"/>
          <w:szCs w:val="24"/>
          <w:lang w:eastAsia="zh-CN"/>
        </w:rPr>
        <w:t>合同和处理与之有关的一切事宜。</w:t>
      </w:r>
    </w:p>
    <w:p w14:paraId="2A4E2526">
      <w:pPr>
        <w:spacing w:before="56" w:line="220" w:lineRule="auto"/>
        <w:ind w:left="502"/>
        <w:rPr>
          <w:rFonts w:hint="eastAsia" w:ascii="宋体" w:hAnsi="宋体" w:eastAsia="宋体" w:cs="宋体"/>
          <w:lang w:eastAsia="zh-CN"/>
        </w:rPr>
      </w:pPr>
      <w:r>
        <w:rPr>
          <w:rFonts w:ascii="宋体" w:hAnsi="宋体" w:eastAsia="宋体" w:cs="宋体"/>
          <w:spacing w:val="-1"/>
          <w:sz w:val="24"/>
          <w:szCs w:val="24"/>
          <w:lang w:eastAsia="zh-CN"/>
        </w:rPr>
        <w:t>代理人无转委托权，特此委托</w:t>
      </w:r>
      <w:r>
        <w:rPr>
          <w:rFonts w:ascii="宋体" w:hAnsi="宋体" w:eastAsia="宋体" w:cs="宋体"/>
          <w:spacing w:val="-1"/>
          <w:lang w:eastAsia="zh-CN"/>
        </w:rPr>
        <w:t>。</w:t>
      </w:r>
    </w:p>
    <w:p w14:paraId="12F3F7ED">
      <w:pPr>
        <w:spacing w:before="314" w:line="220"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代理人：性别：年龄：</w:t>
      </w:r>
    </w:p>
    <w:p w14:paraId="347AFFC3">
      <w:pPr>
        <w:spacing w:before="316" w:line="220" w:lineRule="auto"/>
        <w:ind w:left="510"/>
        <w:rPr>
          <w:rFonts w:hint="eastAsia" w:ascii="宋体" w:hAnsi="宋体" w:eastAsia="宋体" w:cs="宋体"/>
          <w:sz w:val="24"/>
          <w:szCs w:val="24"/>
          <w:lang w:eastAsia="zh-CN"/>
        </w:rPr>
      </w:pPr>
      <w:r>
        <w:rPr>
          <w:rFonts w:ascii="宋体" w:hAnsi="宋体" w:eastAsia="宋体" w:cs="宋体"/>
          <w:spacing w:val="-2"/>
          <w:sz w:val="24"/>
          <w:szCs w:val="24"/>
          <w:lang w:eastAsia="zh-CN"/>
        </w:rPr>
        <w:t>身份证号码：职务：</w:t>
      </w:r>
    </w:p>
    <w:p w14:paraId="6DB2AC4F">
      <w:pPr>
        <w:spacing w:before="316" w:line="219" w:lineRule="auto"/>
        <w:ind w:left="506"/>
        <w:rPr>
          <w:rFonts w:hint="eastAsia" w:ascii="宋体" w:hAnsi="宋体" w:eastAsia="宋体" w:cs="宋体"/>
          <w:sz w:val="24"/>
          <w:szCs w:val="24"/>
          <w:lang w:eastAsia="zh-CN"/>
        </w:rPr>
      </w:pPr>
      <w:r>
        <w:rPr>
          <w:rFonts w:ascii="宋体" w:hAnsi="宋体" w:eastAsia="宋体" w:cs="宋体"/>
          <w:spacing w:val="-12"/>
          <w:sz w:val="24"/>
          <w:szCs w:val="24"/>
          <w:lang w:eastAsia="zh-CN"/>
        </w:rPr>
        <w:t>投标人</w:t>
      </w:r>
      <w:r>
        <w:rPr>
          <w:rFonts w:ascii="宋体" w:hAnsi="宋体" w:eastAsia="宋体" w:cs="宋体"/>
          <w:spacing w:val="-11"/>
          <w:sz w:val="24"/>
          <w:szCs w:val="24"/>
          <w:lang w:eastAsia="zh-CN"/>
        </w:rPr>
        <w:t>：</w:t>
      </w:r>
      <w:r>
        <w:rPr>
          <w:rFonts w:ascii="宋体" w:hAnsi="宋体" w:eastAsia="宋体" w:cs="宋体"/>
          <w:spacing w:val="-11"/>
          <w:sz w:val="24"/>
          <w:szCs w:val="24"/>
          <w:u w:val="single"/>
          <w:lang w:eastAsia="zh-CN"/>
        </w:rPr>
        <w:t>（</w:t>
      </w:r>
      <w:r>
        <w:rPr>
          <w:rFonts w:ascii="宋体" w:hAnsi="宋体" w:eastAsia="宋体" w:cs="宋体"/>
          <w:spacing w:val="-12"/>
          <w:sz w:val="24"/>
          <w:szCs w:val="24"/>
          <w:u w:val="single"/>
          <w:lang w:eastAsia="zh-CN"/>
        </w:rPr>
        <w:t>盖公章）</w:t>
      </w:r>
    </w:p>
    <w:p w14:paraId="7A89560C">
      <w:pPr>
        <w:spacing w:before="318" w:line="219" w:lineRule="auto"/>
        <w:ind w:left="504"/>
        <w:rPr>
          <w:rFonts w:hint="eastAsia" w:ascii="宋体" w:hAnsi="宋体" w:eastAsia="宋体" w:cs="宋体"/>
          <w:sz w:val="24"/>
          <w:szCs w:val="24"/>
          <w:lang w:eastAsia="zh-CN"/>
        </w:rPr>
      </w:pPr>
      <w:r>
        <w:rPr>
          <w:rFonts w:ascii="宋体" w:hAnsi="宋体" w:eastAsia="宋体" w:cs="宋体"/>
          <w:spacing w:val="-8"/>
          <w:sz w:val="24"/>
          <w:szCs w:val="24"/>
          <w:lang w:eastAsia="zh-CN"/>
        </w:rPr>
        <w:t>法定代表人</w:t>
      </w:r>
      <w:r>
        <w:rPr>
          <w:rFonts w:ascii="宋体" w:hAnsi="宋体" w:eastAsia="宋体" w:cs="宋体"/>
          <w:spacing w:val="-17"/>
          <w:sz w:val="24"/>
          <w:szCs w:val="24"/>
          <w:lang w:eastAsia="zh-CN"/>
        </w:rPr>
        <w:t>：</w:t>
      </w:r>
      <w:r>
        <w:rPr>
          <w:rFonts w:ascii="宋体" w:hAnsi="宋体" w:eastAsia="宋体" w:cs="宋体"/>
          <w:spacing w:val="-17"/>
          <w:sz w:val="24"/>
          <w:szCs w:val="24"/>
          <w:u w:val="single"/>
          <w:lang w:eastAsia="zh-CN"/>
        </w:rPr>
        <w:t>（</w:t>
      </w:r>
      <w:r>
        <w:rPr>
          <w:rFonts w:ascii="宋体" w:hAnsi="宋体" w:eastAsia="宋体" w:cs="宋体"/>
          <w:spacing w:val="-8"/>
          <w:sz w:val="24"/>
          <w:szCs w:val="24"/>
          <w:u w:val="single"/>
          <w:lang w:eastAsia="zh-CN"/>
        </w:rPr>
        <w:t>盖章）</w:t>
      </w:r>
    </w:p>
    <w:p w14:paraId="01B6F43D">
      <w:pPr>
        <w:widowControl w:val="0"/>
        <w:rPr>
          <w:lang w:eastAsia="zh-CN"/>
        </w:rPr>
      </w:pPr>
    </w:p>
    <w:p w14:paraId="62C46E99">
      <w:pPr>
        <w:ind w:firstLine="228" w:firstLineChars="100"/>
        <w:rPr>
          <w:rFonts w:hint="eastAsia" w:ascii="宋体" w:hAnsi="宋体" w:eastAsia="宋体" w:cs="宋体"/>
          <w:spacing w:val="-6"/>
          <w:sz w:val="24"/>
          <w:szCs w:val="24"/>
          <w:lang w:eastAsia="zh-CN"/>
        </w:rPr>
      </w:pPr>
      <w:r>
        <w:rPr>
          <w:rFonts w:ascii="宋体" w:hAnsi="宋体" w:eastAsia="宋体" w:cs="宋体"/>
          <w:spacing w:val="-6"/>
          <w:sz w:val="24"/>
          <w:szCs w:val="24"/>
          <w:lang w:eastAsia="zh-CN"/>
        </w:rPr>
        <w:t>授权委托日期：年月日</w:t>
      </w:r>
    </w:p>
    <w:p w14:paraId="24D3C465">
      <w:pPr>
        <w:rPr>
          <w:rFonts w:hint="eastAsia" w:ascii="宋体" w:hAnsi="宋体" w:eastAsia="宋体" w:cs="宋体"/>
          <w:spacing w:val="-6"/>
          <w:sz w:val="24"/>
          <w:szCs w:val="24"/>
          <w:lang w:eastAsia="zh-CN"/>
        </w:rPr>
      </w:pPr>
      <w:r>
        <w:rPr>
          <w:rFonts w:ascii="宋体" w:hAnsi="宋体" w:eastAsia="宋体" w:cs="宋体"/>
          <w:spacing w:val="-6"/>
          <w:sz w:val="24"/>
          <w:szCs w:val="24"/>
          <w:lang w:eastAsia="zh-CN"/>
        </w:rPr>
        <w:br w:type="page"/>
      </w:r>
    </w:p>
    <w:p w14:paraId="6B2214E1">
      <w:pPr>
        <w:pStyle w:val="7"/>
        <w:spacing w:before="20" w:after="20" w:line="540" w:lineRule="exact"/>
        <w:ind w:firstLineChars="0"/>
        <w:rPr>
          <w:rFonts w:hint="eastAsia" w:hAnsi="宋体" w:cs="宋体"/>
        </w:rPr>
      </w:pPr>
    </w:p>
    <w:p w14:paraId="1587F2CD">
      <w:pPr>
        <w:pStyle w:val="11"/>
        <w:jc w:val="center"/>
        <w:rPr>
          <w:rFonts w:hint="eastAsia" w:hAnsi="宋体" w:cs="宋体"/>
          <w:b/>
          <w:sz w:val="28"/>
          <w:szCs w:val="28"/>
        </w:rPr>
      </w:pPr>
      <w:bookmarkStart w:id="63" w:name="_Toc171581547"/>
      <w:bookmarkStart w:id="64" w:name="_Toc17197759"/>
      <w:bookmarkStart w:id="65" w:name="_Toc171741990"/>
      <w:bookmarkStart w:id="66" w:name="_Toc171581367"/>
      <w:r>
        <w:rPr>
          <w:rFonts w:hint="eastAsia" w:hAnsi="宋体" w:cs="宋体"/>
          <w:b/>
          <w:sz w:val="28"/>
          <w:szCs w:val="28"/>
        </w:rPr>
        <w:t>法定代表人身份证明书</w:t>
      </w:r>
      <w:bookmarkEnd w:id="63"/>
      <w:bookmarkEnd w:id="64"/>
      <w:bookmarkEnd w:id="65"/>
      <w:bookmarkEnd w:id="66"/>
    </w:p>
    <w:p w14:paraId="1B7A6E14">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单位名称：</w:t>
      </w:r>
    </w:p>
    <w:p w14:paraId="42DDB34E">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单位性质：</w:t>
      </w:r>
    </w:p>
    <w:p w14:paraId="4E34A076">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地址：</w:t>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r>
        <w:rPr>
          <w:rFonts w:hint="eastAsia" w:ascii="宋体" w:hAnsi="宋体" w:eastAsia="宋体" w:cs="宋体"/>
          <w:snapToGrid/>
          <w:sz w:val="24"/>
          <w:szCs w:val="20"/>
          <w:u w:val="single"/>
          <w:lang w:eastAsia="zh-CN"/>
        </w:rPr>
        <w:tab/>
      </w:r>
    </w:p>
    <w:p w14:paraId="53FCA2A3">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成立时间：年月日</w:t>
      </w:r>
    </w:p>
    <w:p w14:paraId="1DF823E7">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经营期限：</w:t>
      </w:r>
      <w:r>
        <w:rPr>
          <w:rFonts w:hint="eastAsia" w:ascii="宋体" w:hAnsi="宋体" w:eastAsia="宋体" w:cs="宋体"/>
          <w:snapToGrid/>
          <w:sz w:val="24"/>
          <w:szCs w:val="20"/>
          <w:lang w:eastAsia="zh-CN"/>
        </w:rPr>
        <w:tab/>
      </w:r>
    </w:p>
    <w:p w14:paraId="538622D8">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姓名：性别：</w:t>
      </w:r>
    </w:p>
    <w:p w14:paraId="5BF38EB6">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u w:val="single"/>
          <w:lang w:eastAsia="zh-CN"/>
        </w:rPr>
      </w:pPr>
      <w:r>
        <w:rPr>
          <w:rFonts w:hint="eastAsia" w:ascii="宋体" w:hAnsi="宋体" w:eastAsia="宋体" w:cs="宋体"/>
          <w:snapToGrid/>
          <w:sz w:val="24"/>
          <w:szCs w:val="20"/>
          <w:lang w:eastAsia="zh-CN"/>
        </w:rPr>
        <w:t>年龄：职务：</w:t>
      </w:r>
      <w:r>
        <w:rPr>
          <w:rFonts w:hint="eastAsia" w:ascii="宋体" w:hAnsi="宋体" w:eastAsia="宋体" w:cs="宋体"/>
          <w:snapToGrid/>
          <w:sz w:val="24"/>
          <w:szCs w:val="20"/>
          <w:lang w:eastAsia="zh-CN"/>
        </w:rPr>
        <w:tab/>
      </w:r>
    </w:p>
    <w:p w14:paraId="29B6B895">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系</w:t>
      </w:r>
      <w:r>
        <w:rPr>
          <w:rFonts w:hint="eastAsia" w:ascii="宋体" w:hAnsi="宋体" w:eastAsia="宋体" w:cs="宋体"/>
          <w:snapToGrid/>
          <w:sz w:val="24"/>
          <w:szCs w:val="20"/>
          <w:u w:val="single"/>
          <w:lang w:eastAsia="zh-CN"/>
        </w:rPr>
        <w:t>（投标人单位名称）</w:t>
      </w:r>
      <w:r>
        <w:rPr>
          <w:rFonts w:hint="eastAsia" w:ascii="宋体" w:hAnsi="宋体" w:eastAsia="宋体" w:cs="宋体"/>
          <w:snapToGrid/>
          <w:sz w:val="24"/>
          <w:szCs w:val="20"/>
          <w:lang w:eastAsia="zh-CN"/>
        </w:rPr>
        <w:t>的法定代表人。</w:t>
      </w:r>
    </w:p>
    <w:p w14:paraId="61D3E526">
      <w:pPr>
        <w:widowControl w:val="0"/>
        <w:kinsoku/>
        <w:autoSpaceDE/>
        <w:autoSpaceDN/>
        <w:adjustRightInd/>
        <w:snapToGrid/>
        <w:spacing w:before="48" w:beforeLines="20" w:after="48" w:afterLines="20" w:line="540" w:lineRule="exact"/>
        <w:ind w:firstLine="610"/>
        <w:jc w:val="both"/>
        <w:textAlignment w:val="auto"/>
        <w:rPr>
          <w:rFonts w:hint="eastAsia" w:ascii="宋体" w:hAnsi="宋体" w:eastAsia="宋体" w:cs="宋体"/>
          <w:snapToGrid/>
          <w:sz w:val="24"/>
          <w:szCs w:val="20"/>
          <w:lang w:eastAsia="zh-CN"/>
        </w:rPr>
      </w:pPr>
    </w:p>
    <w:p w14:paraId="190AC56A">
      <w:pPr>
        <w:pStyle w:val="9"/>
        <w:spacing w:before="48" w:beforeLines="20" w:after="48" w:afterLines="20" w:line="540" w:lineRule="exact"/>
        <w:ind w:firstLine="240" w:firstLineChars="100"/>
        <w:rPr>
          <w:rFonts w:hint="eastAsia" w:hAnsi="宋体" w:cs="宋体"/>
        </w:rPr>
      </w:pPr>
      <w:r>
        <w:rPr>
          <w:rFonts w:hint="eastAsia" w:hAnsi="宋体" w:cs="宋体"/>
        </w:rPr>
        <w:t>特此证明。</w:t>
      </w:r>
    </w:p>
    <w:p w14:paraId="4D44287B">
      <w:pPr>
        <w:widowControl w:val="0"/>
        <w:tabs>
          <w:tab w:val="left" w:pos="720"/>
          <w:tab w:val="left" w:pos="900"/>
        </w:tabs>
        <w:kinsoku/>
        <w:autoSpaceDE/>
        <w:autoSpaceDN/>
        <w:adjustRightInd/>
        <w:snapToGrid/>
        <w:spacing w:before="48" w:beforeLines="20" w:after="48" w:afterLines="20" w:line="540" w:lineRule="exact"/>
        <w:ind w:firstLine="4560" w:firstLineChars="1900"/>
        <w:jc w:val="both"/>
        <w:textAlignment w:val="auto"/>
        <w:rPr>
          <w:rFonts w:hint="eastAsia" w:ascii="宋体" w:hAnsi="宋体" w:eastAsia="宋体" w:cs="宋体"/>
          <w:snapToGrid/>
          <w:sz w:val="24"/>
          <w:szCs w:val="20"/>
          <w:lang w:eastAsia="zh-CN"/>
        </w:rPr>
      </w:pPr>
    </w:p>
    <w:p w14:paraId="4AD1E0A2">
      <w:pPr>
        <w:widowControl w:val="0"/>
        <w:tabs>
          <w:tab w:val="left" w:pos="720"/>
          <w:tab w:val="left" w:pos="900"/>
        </w:tabs>
        <w:kinsoku/>
        <w:autoSpaceDE/>
        <w:autoSpaceDN/>
        <w:adjustRightInd/>
        <w:snapToGrid/>
        <w:spacing w:before="48" w:beforeLines="20" w:after="48" w:afterLines="20" w:line="540" w:lineRule="exact"/>
        <w:ind w:firstLine="3840" w:firstLineChars="16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w:t>
      </w:r>
      <w:r>
        <w:rPr>
          <w:rFonts w:hint="eastAsia" w:ascii="宋体" w:hAnsi="宋体" w:eastAsia="宋体" w:cs="宋体"/>
          <w:snapToGrid/>
          <w:sz w:val="24"/>
          <w:szCs w:val="20"/>
          <w:u w:val="single"/>
          <w:lang w:eastAsia="zh-CN"/>
        </w:rPr>
        <w:t>（盖公章）</w:t>
      </w:r>
    </w:p>
    <w:p w14:paraId="70A37A8B">
      <w:pPr>
        <w:widowControl w:val="0"/>
        <w:kinsoku/>
        <w:autoSpaceDE/>
        <w:autoSpaceDN/>
        <w:adjustRightInd/>
        <w:snapToGrid/>
        <w:spacing w:before="48" w:beforeLines="20" w:after="48" w:afterLines="20" w:line="540" w:lineRule="exact"/>
        <w:ind w:firstLine="3840" w:firstLineChars="1600"/>
        <w:jc w:val="both"/>
        <w:textAlignment w:val="auto"/>
        <w:rPr>
          <w:rFonts w:hint="eastAsia" w:ascii="宋体" w:hAnsi="宋体" w:eastAsia="宋体" w:cs="宋体"/>
          <w:b/>
          <w:snapToGrid/>
          <w:sz w:val="24"/>
          <w:szCs w:val="20"/>
          <w:lang w:eastAsia="zh-CN"/>
        </w:rPr>
      </w:pPr>
      <w:r>
        <w:rPr>
          <w:rFonts w:hint="eastAsia" w:ascii="宋体" w:hAnsi="宋体" w:eastAsia="宋体" w:cs="宋体"/>
          <w:snapToGrid/>
          <w:sz w:val="24"/>
          <w:szCs w:val="20"/>
          <w:lang w:eastAsia="zh-CN"/>
        </w:rPr>
        <w:t>日期：年月日</w:t>
      </w:r>
    </w:p>
    <w:p w14:paraId="4AA12294">
      <w:pPr>
        <w:pStyle w:val="7"/>
        <w:spacing w:before="48" w:beforeLines="20" w:after="48" w:afterLines="20" w:line="540" w:lineRule="exact"/>
        <w:ind w:firstLine="0" w:firstLineChars="0"/>
        <w:rPr>
          <w:rFonts w:hint="eastAsia" w:hAnsi="宋体" w:cs="宋体"/>
        </w:rPr>
      </w:pPr>
    </w:p>
    <w:p w14:paraId="22B859D0">
      <w:pPr>
        <w:pStyle w:val="11"/>
        <w:spacing w:line="360" w:lineRule="auto"/>
        <w:rPr>
          <w:rFonts w:hint="eastAsia" w:hAnsi="宋体" w:cs="宋体"/>
          <w:szCs w:val="20"/>
        </w:rPr>
      </w:pPr>
      <w:bookmarkStart w:id="67" w:name="_Toc171581368"/>
      <w:bookmarkStart w:id="68" w:name="_Toc171741991"/>
      <w:bookmarkStart w:id="69" w:name="_Toc171581548"/>
      <w:r>
        <w:rPr>
          <w:rFonts w:hint="eastAsia" w:hAnsi="宋体" w:cs="宋体"/>
          <w:szCs w:val="20"/>
        </w:rPr>
        <w:t>注：（1）联合体投标的，本证明由联合体牵头人填写。</w:t>
      </w:r>
    </w:p>
    <w:p w14:paraId="155A566F">
      <w:pPr>
        <w:pStyle w:val="11"/>
        <w:spacing w:line="360" w:lineRule="auto"/>
        <w:ind w:left="720" w:hanging="720" w:hangingChars="300"/>
        <w:jc w:val="left"/>
        <w:rPr>
          <w:rFonts w:hint="eastAsia" w:hAnsi="宋体" w:cs="宋体"/>
          <w:szCs w:val="20"/>
        </w:rPr>
      </w:pPr>
      <w:r>
        <w:rPr>
          <w:rFonts w:hint="eastAsia" w:hAnsi="宋体" w:cs="宋体"/>
          <w:szCs w:val="20"/>
        </w:rPr>
        <w:t>（2）法定代表人身份证明需按上述格式填写完整，不可缺少内容，在此基础上增加内容的不影响其有效性。</w:t>
      </w:r>
    </w:p>
    <w:p w14:paraId="45B299F2">
      <w:pPr>
        <w:pStyle w:val="11"/>
        <w:spacing w:line="360" w:lineRule="auto"/>
        <w:jc w:val="center"/>
        <w:rPr>
          <w:rFonts w:hint="eastAsia" w:hAnsi="宋体" w:cs="宋体"/>
          <w:szCs w:val="20"/>
        </w:rPr>
      </w:pPr>
    </w:p>
    <w:p w14:paraId="6FC8A68A">
      <w:pPr>
        <w:pStyle w:val="11"/>
        <w:jc w:val="center"/>
        <w:rPr>
          <w:rFonts w:hint="eastAsia" w:hAnsi="宋体" w:cs="宋体"/>
          <w:b/>
          <w:sz w:val="28"/>
          <w:szCs w:val="28"/>
        </w:rPr>
      </w:pPr>
    </w:p>
    <w:p w14:paraId="7FA9DCDD">
      <w:pPr>
        <w:pStyle w:val="11"/>
        <w:jc w:val="center"/>
        <w:rPr>
          <w:rFonts w:hint="eastAsia" w:hAnsi="宋体" w:cs="宋体"/>
          <w:b/>
          <w:sz w:val="28"/>
          <w:szCs w:val="28"/>
        </w:rPr>
      </w:pPr>
    </w:p>
    <w:p w14:paraId="328AF74F">
      <w:pPr>
        <w:rPr>
          <w:rFonts w:hAnsi="宋体" w:cs="宋体"/>
          <w:b/>
          <w:sz w:val="28"/>
          <w:szCs w:val="28"/>
          <w:lang w:eastAsia="zh-CN"/>
        </w:rPr>
      </w:pPr>
      <w:r>
        <w:rPr>
          <w:rFonts w:hint="eastAsia" w:hAnsi="宋体" w:cs="宋体"/>
          <w:b/>
          <w:sz w:val="28"/>
          <w:szCs w:val="28"/>
          <w:lang w:eastAsia="zh-CN"/>
        </w:rPr>
        <w:br w:type="page"/>
      </w:r>
    </w:p>
    <w:bookmarkEnd w:id="67"/>
    <w:bookmarkEnd w:id="68"/>
    <w:bookmarkEnd w:id="69"/>
    <w:p w14:paraId="183E5044">
      <w:pPr>
        <w:widowControl w:val="0"/>
        <w:kinsoku/>
        <w:autoSpaceDE/>
        <w:autoSpaceDN/>
        <w:adjustRightInd/>
        <w:snapToGrid/>
        <w:spacing w:before="193" w:line="500" w:lineRule="exact"/>
        <w:jc w:val="center"/>
        <w:rPr>
          <w:rFonts w:ascii="黑体" w:hAnsi="Times New Roman" w:eastAsia="黑体" w:cs="Times New Roman"/>
          <w:snapToGrid/>
          <w:sz w:val="24"/>
          <w:szCs w:val="24"/>
          <w:lang w:eastAsia="zh-CN"/>
        </w:rPr>
      </w:pPr>
      <w:bookmarkStart w:id="70" w:name="_Toc171581379"/>
      <w:bookmarkStart w:id="71" w:name="_Toc171742002"/>
      <w:bookmarkStart w:id="72" w:name="_Hlk109571288"/>
      <w:bookmarkStart w:id="73" w:name="_Toc171581559"/>
      <w:r>
        <w:rPr>
          <w:rFonts w:hint="eastAsia" w:ascii="黑体" w:hAnsi="Times New Roman" w:eastAsia="黑体" w:cs="Times New Roman"/>
          <w:snapToGrid/>
          <w:sz w:val="24"/>
          <w:szCs w:val="24"/>
          <w:lang w:eastAsia="zh-CN"/>
        </w:rPr>
        <w:t>基本账户开户许可证（或基本账户开户银行的基本存款账户信息）</w:t>
      </w:r>
    </w:p>
    <w:p w14:paraId="299A0DE2">
      <w:pPr>
        <w:widowControl w:val="0"/>
        <w:kinsoku/>
        <w:autoSpaceDE/>
        <w:autoSpaceDN/>
        <w:adjustRightInd/>
        <w:snapToGrid/>
        <w:spacing w:before="193" w:line="500" w:lineRule="exact"/>
        <w:jc w:val="center"/>
        <w:rPr>
          <w:rFonts w:ascii="黑体" w:hAnsi="Times New Roman" w:eastAsia="黑体" w:cs="Times New Roman"/>
          <w:snapToGrid/>
          <w:sz w:val="24"/>
          <w:szCs w:val="24"/>
          <w:lang w:eastAsia="zh-CN"/>
        </w:rPr>
      </w:pPr>
      <w:r>
        <w:rPr>
          <w:rFonts w:hint="eastAsia" w:ascii="黑体" w:hAnsi="Times New Roman" w:eastAsia="黑体" w:cs="Times New Roman"/>
          <w:snapToGrid/>
          <w:sz w:val="24"/>
          <w:szCs w:val="24"/>
          <w:lang w:eastAsia="zh-CN"/>
        </w:rPr>
        <w:t>承诺函</w:t>
      </w:r>
    </w:p>
    <w:p w14:paraId="16134E07">
      <w:pPr>
        <w:widowControl w:val="0"/>
        <w:kinsoku/>
        <w:autoSpaceDE/>
        <w:autoSpaceDN/>
        <w:adjustRightInd/>
        <w:snapToGrid/>
        <w:spacing w:line="460" w:lineRule="exact"/>
        <w:jc w:val="both"/>
        <w:rPr>
          <w:rFonts w:hint="eastAsia" w:ascii="宋体" w:hAnsi="宋体" w:eastAsia="宋体" w:cs="Times New Roman"/>
          <w:snapToGrid/>
          <w:sz w:val="24"/>
          <w:szCs w:val="24"/>
          <w:u w:val="single"/>
          <w:lang w:eastAsia="zh-CN"/>
        </w:rPr>
      </w:pPr>
      <w:r>
        <w:rPr>
          <w:rFonts w:ascii="宋体" w:hAnsi="宋体" w:eastAsia="宋体" w:cs="Times New Roman"/>
          <w:snapToGrid/>
          <w:sz w:val="24"/>
          <w:szCs w:val="24"/>
          <w:lang w:eastAsia="zh-CN"/>
        </w:rPr>
        <w:t>致：</w:t>
      </w:r>
      <w:r>
        <w:rPr>
          <w:rFonts w:ascii="宋体" w:hAnsi="宋体" w:eastAsia="宋体" w:cs="Times New Roman"/>
          <w:snapToGrid/>
          <w:sz w:val="24"/>
          <w:szCs w:val="24"/>
          <w:u w:val="single"/>
          <w:lang w:eastAsia="zh-CN"/>
        </w:rPr>
        <w:t>（招标人名称）</w:t>
      </w:r>
    </w:p>
    <w:p w14:paraId="7DA51B7C">
      <w:pPr>
        <w:widowControl w:val="0"/>
        <w:kinsoku/>
        <w:autoSpaceDE/>
        <w:autoSpaceDN/>
        <w:adjustRightInd/>
        <w:snapToGrid/>
        <w:spacing w:line="500" w:lineRule="exact"/>
        <w:ind w:firstLine="480" w:firstLineChars="200"/>
        <w:rPr>
          <w:rFonts w:hint="eastAsia" w:ascii="宋体" w:hAnsi="宋体" w:eastAsia="宋体" w:cs="Times New Roman"/>
          <w:snapToGrid/>
          <w:sz w:val="24"/>
          <w:szCs w:val="24"/>
          <w:lang w:eastAsia="zh-CN"/>
        </w:rPr>
      </w:pPr>
      <w:r>
        <w:rPr>
          <w:rFonts w:ascii="宋体" w:hAnsi="宋体" w:eastAsia="宋体" w:cs="Times New Roman"/>
          <w:snapToGrid/>
          <w:sz w:val="24"/>
          <w:szCs w:val="24"/>
          <w:lang w:eastAsia="zh-CN"/>
        </w:rPr>
        <w:t>我单位</w:t>
      </w:r>
      <w:r>
        <w:rPr>
          <w:rFonts w:hint="eastAsia" w:ascii="宋体" w:hAnsi="宋体" w:eastAsia="宋体" w:cs="Times New Roman"/>
          <w:snapToGrid/>
          <w:sz w:val="24"/>
          <w:szCs w:val="24"/>
          <w:lang w:eastAsia="zh-CN"/>
        </w:rPr>
        <w:t>向贵单位</w:t>
      </w:r>
      <w:r>
        <w:rPr>
          <w:rFonts w:ascii="宋体" w:hAnsi="宋体" w:eastAsia="宋体" w:cs="Times New Roman"/>
          <w:snapToGrid/>
          <w:sz w:val="24"/>
          <w:szCs w:val="24"/>
          <w:lang w:eastAsia="zh-CN"/>
        </w:rPr>
        <w:t>承诺</w:t>
      </w:r>
      <w:r>
        <w:rPr>
          <w:rFonts w:hint="eastAsia" w:ascii="宋体" w:hAnsi="宋体" w:eastAsia="宋体" w:cs="Times New Roman"/>
          <w:snapToGrid/>
          <w:sz w:val="24"/>
          <w:szCs w:val="24"/>
          <w:lang w:eastAsia="zh-CN"/>
        </w:rPr>
        <w:t>：</w:t>
      </w:r>
      <w:r>
        <w:rPr>
          <w:rFonts w:ascii="宋体" w:hAnsi="宋体" w:eastAsia="宋体" w:cs="Times New Roman"/>
          <w:snapToGrid/>
          <w:sz w:val="24"/>
          <w:szCs w:val="24"/>
          <w:lang w:eastAsia="zh-CN"/>
        </w:rPr>
        <w:t>以下所附我单位基本账户开户许可证（或基本账户开户银行的基本存款账户信息</w:t>
      </w:r>
      <w:r>
        <w:rPr>
          <w:rFonts w:ascii="宋体" w:hAnsi="宋体" w:eastAsia="宋体" w:cs="Times New Roman"/>
          <w:snapToGrid/>
          <w:spacing w:val="-15"/>
          <w:sz w:val="24"/>
          <w:szCs w:val="24"/>
          <w:lang w:eastAsia="zh-CN"/>
        </w:rPr>
        <w:t>）</w:t>
      </w:r>
      <w:r>
        <w:rPr>
          <w:rFonts w:hint="eastAsia" w:ascii="宋体" w:hAnsi="宋体" w:eastAsia="宋体" w:cs="Times New Roman"/>
          <w:snapToGrid/>
          <w:spacing w:val="-4"/>
          <w:sz w:val="24"/>
          <w:szCs w:val="24"/>
          <w:lang w:eastAsia="zh-CN"/>
        </w:rPr>
        <w:t>原件扫描件</w:t>
      </w:r>
      <w:r>
        <w:rPr>
          <w:rFonts w:ascii="宋体" w:hAnsi="宋体" w:eastAsia="宋体" w:cs="Times New Roman"/>
          <w:snapToGrid/>
          <w:spacing w:val="-4"/>
          <w:sz w:val="24"/>
          <w:szCs w:val="24"/>
          <w:lang w:eastAsia="zh-CN"/>
        </w:rPr>
        <w:t>真实有效。如与我单位</w:t>
      </w:r>
      <w:r>
        <w:rPr>
          <w:rFonts w:hint="eastAsia" w:ascii="宋体" w:hAnsi="宋体" w:eastAsia="宋体" w:cs="Times New Roman"/>
          <w:snapToGrid/>
          <w:spacing w:val="-4"/>
          <w:sz w:val="24"/>
          <w:szCs w:val="24"/>
          <w:lang w:eastAsia="zh-CN"/>
        </w:rPr>
        <w:t>在</w:t>
      </w:r>
      <w:r>
        <w:rPr>
          <w:rFonts w:hint="eastAsia" w:ascii="宋体" w:hAnsi="宋体" w:eastAsia="宋体" w:cs="宋体"/>
          <w:bCs/>
          <w:snapToGrid/>
          <w:sz w:val="24"/>
          <w:szCs w:val="24"/>
          <w:lang w:eastAsia="zh-CN"/>
        </w:rPr>
        <w:t>安徽省公共资源交易市场主体库中公布的银行基本账户</w:t>
      </w:r>
      <w:r>
        <w:rPr>
          <w:rFonts w:ascii="宋体" w:hAnsi="宋体" w:eastAsia="宋体" w:cs="Times New Roman"/>
          <w:snapToGrid/>
          <w:sz w:val="24"/>
          <w:szCs w:val="24"/>
          <w:lang w:eastAsia="zh-CN"/>
        </w:rPr>
        <w:t>信息不一致的或者在安徽省公共资源交易市场主体库中公布的银行基本</w:t>
      </w:r>
      <w:r>
        <w:rPr>
          <w:rFonts w:hint="eastAsia" w:ascii="宋体" w:hAnsi="宋体" w:eastAsia="宋体" w:cs="Times New Roman"/>
          <w:snapToGrid/>
          <w:color w:val="auto"/>
          <w:sz w:val="24"/>
          <w:szCs w:val="24"/>
          <w:lang w:eastAsia="zh-CN"/>
        </w:rPr>
        <w:t>账</w:t>
      </w:r>
      <w:r>
        <w:rPr>
          <w:rFonts w:ascii="宋体" w:hAnsi="宋体" w:eastAsia="宋体" w:cs="Times New Roman"/>
          <w:snapToGrid/>
          <w:color w:val="auto"/>
          <w:sz w:val="24"/>
          <w:szCs w:val="24"/>
          <w:lang w:eastAsia="zh-CN"/>
        </w:rPr>
        <w:t>户</w:t>
      </w:r>
      <w:r>
        <w:rPr>
          <w:rFonts w:ascii="宋体" w:hAnsi="宋体" w:eastAsia="宋体" w:cs="Times New Roman"/>
          <w:snapToGrid/>
          <w:sz w:val="24"/>
          <w:szCs w:val="24"/>
          <w:lang w:eastAsia="zh-CN"/>
        </w:rPr>
        <w:t>信息属于弄虚作假的，</w:t>
      </w:r>
      <w:r>
        <w:rPr>
          <w:rFonts w:hint="eastAsia" w:ascii="宋体" w:hAnsi="宋体" w:eastAsia="宋体" w:cs="Times New Roman"/>
          <w:snapToGrid/>
          <w:sz w:val="24"/>
          <w:szCs w:val="24"/>
          <w:lang w:eastAsia="zh-CN"/>
        </w:rPr>
        <w:t>其投标无效。</w:t>
      </w:r>
    </w:p>
    <w:p w14:paraId="421C660C">
      <w:pPr>
        <w:widowControl w:val="0"/>
        <w:kinsoku/>
        <w:autoSpaceDE/>
        <w:autoSpaceDN/>
        <w:adjustRightInd/>
        <w:snapToGrid/>
        <w:spacing w:line="360" w:lineRule="auto"/>
        <w:ind w:right="96" w:firstLine="480" w:firstLineChars="200"/>
        <w:textAlignment w:val="auto"/>
        <w:rPr>
          <w:rFonts w:hint="eastAsia" w:ascii="宋体" w:hAnsi="宋体" w:eastAsia="宋体" w:cs="宋体"/>
          <w:b/>
          <w:bCs/>
          <w:snapToGrid/>
          <w:sz w:val="24"/>
          <w:szCs w:val="24"/>
          <w:lang w:eastAsia="zh-CN"/>
        </w:rPr>
      </w:pPr>
      <w:r>
        <w:rPr>
          <w:rFonts w:ascii="宋体" w:hAnsi="宋体" w:eastAsia="宋体" w:cs="Times New Roman"/>
          <w:snapToGrid/>
          <w:sz w:val="24"/>
          <w:szCs w:val="24"/>
          <w:lang w:eastAsia="zh-CN"/>
        </w:rPr>
        <w:t>我单位承诺</w:t>
      </w:r>
      <w:r>
        <w:rPr>
          <w:rFonts w:hint="eastAsia" w:ascii="宋体" w:hAnsi="宋体" w:eastAsia="宋体" w:cs="Times New Roman"/>
          <w:snapToGrid/>
          <w:sz w:val="24"/>
          <w:szCs w:val="24"/>
          <w:lang w:eastAsia="zh-CN"/>
        </w:rPr>
        <w:t>:若</w:t>
      </w:r>
      <w:r>
        <w:rPr>
          <w:rFonts w:hint="eastAsia" w:ascii="宋体" w:hAnsi="宋体" w:eastAsia="宋体" w:cs="宋体"/>
          <w:bCs/>
          <w:snapToGrid/>
          <w:sz w:val="24"/>
          <w:szCs w:val="24"/>
          <w:lang w:eastAsia="zh-CN"/>
        </w:rPr>
        <w:t>提供</w:t>
      </w:r>
      <w:r>
        <w:rPr>
          <w:rFonts w:ascii="宋体" w:hAnsi="宋体" w:eastAsia="宋体" w:cs="宋体"/>
          <w:bCs/>
          <w:snapToGrid/>
          <w:sz w:val="24"/>
          <w:szCs w:val="24"/>
          <w:lang w:eastAsia="zh-CN"/>
        </w:rPr>
        <w:t>虚假保函</w:t>
      </w:r>
      <w:r>
        <w:rPr>
          <w:rFonts w:hint="eastAsia" w:ascii="宋体" w:hAnsi="宋体" w:eastAsia="宋体" w:cs="宋体"/>
          <w:bCs/>
          <w:snapToGrid/>
          <w:sz w:val="24"/>
          <w:szCs w:val="24"/>
          <w:lang w:eastAsia="zh-CN"/>
        </w:rPr>
        <w:t>、虚假保证保险</w:t>
      </w:r>
      <w:r>
        <w:rPr>
          <w:rFonts w:ascii="宋体" w:hAnsi="宋体" w:eastAsia="宋体" w:cs="宋体"/>
          <w:bCs/>
          <w:snapToGrid/>
          <w:sz w:val="24"/>
          <w:szCs w:val="24"/>
          <w:lang w:eastAsia="zh-CN"/>
        </w:rPr>
        <w:t>，除依法承担弄虚作假的法律责任外，</w:t>
      </w:r>
      <w:r>
        <w:rPr>
          <w:rFonts w:hint="eastAsia" w:ascii="宋体" w:hAnsi="宋体" w:eastAsia="宋体" w:cs="宋体"/>
          <w:bCs/>
          <w:snapToGrid/>
          <w:sz w:val="24"/>
          <w:szCs w:val="24"/>
          <w:lang w:eastAsia="zh-CN"/>
        </w:rPr>
        <w:t>我单位自愿承担</w:t>
      </w:r>
      <w:r>
        <w:rPr>
          <w:rFonts w:ascii="宋体" w:hAnsi="宋体" w:eastAsia="宋体" w:cs="宋体"/>
          <w:bCs/>
          <w:snapToGrid/>
          <w:sz w:val="24"/>
          <w:szCs w:val="24"/>
          <w:lang w:eastAsia="zh-CN"/>
        </w:rPr>
        <w:t>根据招标文件规定投标保证金不予退还的民事责任，承担方式为限时足额缴纳招标文件所列全部投标保证金，在招标人发出追缴通知后的规定缴纳时间内不能足额支付投标保证金的，招标人</w:t>
      </w:r>
      <w:r>
        <w:rPr>
          <w:rFonts w:hint="eastAsia" w:ascii="宋体" w:hAnsi="宋体" w:eastAsia="宋体" w:cs="宋体"/>
          <w:bCs/>
          <w:snapToGrid/>
          <w:sz w:val="24"/>
          <w:szCs w:val="24"/>
          <w:lang w:eastAsia="zh-CN"/>
        </w:rPr>
        <w:t>可以</w:t>
      </w:r>
      <w:r>
        <w:rPr>
          <w:rFonts w:ascii="宋体" w:hAnsi="宋体" w:eastAsia="宋体" w:cs="宋体"/>
          <w:bCs/>
          <w:snapToGrid/>
          <w:sz w:val="24"/>
          <w:szCs w:val="24"/>
          <w:lang w:eastAsia="zh-CN"/>
        </w:rPr>
        <w:t>依法提起诉讼追缴</w:t>
      </w:r>
      <w:r>
        <w:rPr>
          <w:rFonts w:hint="eastAsia" w:ascii="宋体" w:hAnsi="宋体" w:eastAsia="宋体" w:cs="宋体"/>
          <w:bCs/>
          <w:snapToGrid/>
          <w:sz w:val="24"/>
          <w:szCs w:val="24"/>
          <w:lang w:eastAsia="zh-CN"/>
        </w:rPr>
        <w:t>，</w:t>
      </w:r>
      <w:r>
        <w:rPr>
          <w:rFonts w:ascii="宋体" w:hAnsi="宋体" w:eastAsia="宋体" w:cs="宋体"/>
          <w:bCs/>
          <w:snapToGrid/>
          <w:sz w:val="24"/>
          <w:szCs w:val="24"/>
          <w:lang w:eastAsia="zh-CN"/>
        </w:rPr>
        <w:t>招标人因此发生的诉讼费、律师代理费等费用均由</w:t>
      </w:r>
      <w:r>
        <w:rPr>
          <w:rFonts w:hint="eastAsia" w:ascii="宋体" w:hAnsi="宋体" w:eastAsia="宋体" w:cs="宋体"/>
          <w:bCs/>
          <w:snapToGrid/>
          <w:sz w:val="24"/>
          <w:szCs w:val="24"/>
          <w:lang w:eastAsia="zh-CN"/>
        </w:rPr>
        <w:t>我单位</w:t>
      </w:r>
      <w:r>
        <w:rPr>
          <w:rFonts w:ascii="宋体" w:hAnsi="宋体" w:eastAsia="宋体" w:cs="宋体"/>
          <w:bCs/>
          <w:snapToGrid/>
          <w:sz w:val="24"/>
          <w:szCs w:val="24"/>
          <w:lang w:eastAsia="zh-CN"/>
        </w:rPr>
        <w:t>承担。不缴纳</w:t>
      </w:r>
      <w:r>
        <w:rPr>
          <w:rFonts w:hint="eastAsia" w:ascii="宋体" w:hAnsi="宋体" w:eastAsia="宋体" w:cs="宋体"/>
          <w:bCs/>
          <w:snapToGrid/>
          <w:sz w:val="24"/>
          <w:szCs w:val="24"/>
          <w:lang w:eastAsia="zh-CN"/>
        </w:rPr>
        <w:t>或</w:t>
      </w:r>
      <w:r>
        <w:rPr>
          <w:rFonts w:ascii="宋体" w:hAnsi="宋体" w:eastAsia="宋体" w:cs="宋体"/>
          <w:bCs/>
          <w:snapToGrid/>
          <w:sz w:val="24"/>
          <w:szCs w:val="24"/>
          <w:lang w:eastAsia="zh-CN"/>
        </w:rPr>
        <w:t>不足额缴纳的，将承担不良行为记录、行政处罚、投标资格限制的处理，直至承担弄虚作假的刑事责任</w:t>
      </w:r>
      <w:r>
        <w:rPr>
          <w:rFonts w:hint="eastAsia" w:ascii="宋体" w:hAnsi="宋体" w:eastAsia="宋体" w:cs="宋体"/>
          <w:bCs/>
          <w:snapToGrid/>
          <w:sz w:val="24"/>
          <w:szCs w:val="24"/>
          <w:lang w:eastAsia="zh-CN"/>
        </w:rPr>
        <w:t>。</w:t>
      </w:r>
    </w:p>
    <w:p w14:paraId="5683B9E4">
      <w:pPr>
        <w:widowControl w:val="0"/>
        <w:kinsoku/>
        <w:autoSpaceDE/>
        <w:autoSpaceDN/>
        <w:adjustRightInd/>
        <w:snapToGrid/>
        <w:spacing w:line="500" w:lineRule="exact"/>
        <w:ind w:firstLine="480" w:firstLineChars="200"/>
        <w:rPr>
          <w:rFonts w:hint="eastAsia" w:ascii="宋体" w:hAnsi="宋体" w:eastAsia="宋体" w:cs="Times New Roman"/>
          <w:snapToGrid/>
          <w:sz w:val="24"/>
          <w:szCs w:val="24"/>
          <w:lang w:eastAsia="zh-CN"/>
        </w:rPr>
      </w:pPr>
      <w:r>
        <w:rPr>
          <w:rFonts w:ascii="宋体" w:hAnsi="宋体" w:eastAsia="宋体" w:cs="Times New Roman"/>
          <w:snapToGrid/>
          <w:sz w:val="24"/>
          <w:szCs w:val="24"/>
          <w:lang w:eastAsia="zh-CN"/>
        </w:rPr>
        <w:t>附：账户开户许可证（或基本账户开户银行的基本存款账户信息）</w:t>
      </w:r>
    </w:p>
    <w:p w14:paraId="167F5060">
      <w:pPr>
        <w:widowControl w:val="0"/>
        <w:kinsoku/>
        <w:autoSpaceDE/>
        <w:autoSpaceDN/>
        <w:adjustRightInd/>
        <w:snapToGrid/>
        <w:spacing w:after="120" w:line="500" w:lineRule="exact"/>
        <w:ind w:right="96"/>
        <w:jc w:val="both"/>
        <w:textAlignment w:val="auto"/>
        <w:rPr>
          <w:rFonts w:hint="eastAsia" w:ascii="宋体" w:hAnsi="宋体" w:eastAsia="宋体" w:cs="Times New Roman"/>
          <w:snapToGrid/>
          <w:sz w:val="24"/>
          <w:szCs w:val="24"/>
          <w:lang w:eastAsia="zh-CN"/>
        </w:rPr>
      </w:pPr>
    </w:p>
    <w:p w14:paraId="2D3B1F9C">
      <w:pPr>
        <w:widowControl w:val="0"/>
        <w:tabs>
          <w:tab w:val="left" w:pos="7867"/>
        </w:tabs>
        <w:kinsoku/>
        <w:autoSpaceDE/>
        <w:autoSpaceDN/>
        <w:adjustRightInd/>
        <w:snapToGrid/>
        <w:spacing w:before="100" w:beforeAutospacing="1" w:line="500" w:lineRule="exact"/>
        <w:ind w:firstLine="480" w:firstLineChars="200"/>
        <w:rPr>
          <w:rFonts w:hint="eastAsia" w:ascii="宋体" w:hAnsi="宋体" w:eastAsia="宋体" w:cs="Times New Roman"/>
          <w:snapToGrid/>
          <w:sz w:val="24"/>
          <w:szCs w:val="24"/>
          <w:lang w:eastAsia="zh-CN"/>
        </w:rPr>
      </w:pPr>
      <w:r>
        <w:rPr>
          <w:rFonts w:ascii="宋体" w:hAnsi="宋体" w:eastAsia="宋体" w:cs="Times New Roman"/>
          <w:snapToGrid/>
          <w:sz w:val="24"/>
          <w:szCs w:val="24"/>
          <w:lang w:eastAsia="zh-CN"/>
        </w:rPr>
        <w:t>投标人：（盖单位公章）</w:t>
      </w:r>
    </w:p>
    <w:p w14:paraId="50386801">
      <w:pPr>
        <w:kinsoku/>
        <w:autoSpaceDE/>
        <w:autoSpaceDN/>
        <w:adjustRightInd/>
        <w:snapToGrid/>
        <w:jc w:val="center"/>
        <w:rPr>
          <w:rFonts w:ascii="黑体" w:hAnsi="Times New Roman" w:eastAsia="黑体" w:cs="Times New Roman"/>
          <w:snapToGrid/>
          <w:sz w:val="24"/>
          <w:szCs w:val="24"/>
          <w:lang w:eastAsia="zh-CN"/>
        </w:rPr>
      </w:pPr>
    </w:p>
    <w:p w14:paraId="1EFAE161">
      <w:pPr>
        <w:kinsoku/>
        <w:autoSpaceDE/>
        <w:autoSpaceDN/>
        <w:adjustRightInd/>
        <w:snapToGrid/>
        <w:jc w:val="center"/>
        <w:rPr>
          <w:rFonts w:ascii="黑体" w:hAnsi="Times New Roman" w:eastAsia="黑体" w:cs="Times New Roman"/>
          <w:snapToGrid/>
          <w:sz w:val="24"/>
          <w:szCs w:val="24"/>
          <w:lang w:eastAsia="zh-CN"/>
        </w:rPr>
      </w:pPr>
    </w:p>
    <w:p w14:paraId="19A5191D">
      <w:pPr>
        <w:rPr>
          <w:rFonts w:ascii="黑体" w:hAnsi="Times New Roman" w:eastAsia="黑体" w:cs="Times New Roman"/>
          <w:snapToGrid/>
          <w:sz w:val="24"/>
          <w:szCs w:val="24"/>
          <w:lang w:eastAsia="zh-CN"/>
        </w:rPr>
      </w:pPr>
      <w:r>
        <w:rPr>
          <w:rFonts w:ascii="黑体" w:hAnsi="Times New Roman" w:eastAsia="黑体" w:cs="Times New Roman"/>
          <w:snapToGrid/>
          <w:sz w:val="24"/>
          <w:szCs w:val="24"/>
          <w:lang w:eastAsia="zh-CN"/>
        </w:rPr>
        <w:br w:type="page"/>
      </w:r>
    </w:p>
    <w:p w14:paraId="6DC11CF6">
      <w:pPr>
        <w:kinsoku/>
        <w:autoSpaceDE/>
        <w:autoSpaceDN/>
        <w:adjustRightInd/>
        <w:snapToGrid/>
        <w:jc w:val="center"/>
        <w:rPr>
          <w:rFonts w:ascii="黑体" w:hAnsi="Times New Roman" w:eastAsia="黑体" w:cs="Times New Roman"/>
          <w:snapToGrid/>
          <w:sz w:val="24"/>
          <w:szCs w:val="24"/>
          <w:lang w:eastAsia="zh-CN"/>
        </w:rPr>
      </w:pPr>
    </w:p>
    <w:p w14:paraId="248108BF">
      <w:pPr>
        <w:kinsoku/>
        <w:autoSpaceDE/>
        <w:autoSpaceDN/>
        <w:adjustRightInd/>
        <w:snapToGrid/>
        <w:jc w:val="center"/>
        <w:rPr>
          <w:rFonts w:ascii="黑体" w:hAnsi="Times New Roman" w:eastAsia="黑体" w:cs="Times New Roman"/>
          <w:snapToGrid/>
          <w:sz w:val="24"/>
          <w:szCs w:val="24"/>
          <w:lang w:eastAsia="zh-CN"/>
        </w:rPr>
      </w:pPr>
      <w:r>
        <w:rPr>
          <w:rFonts w:hint="eastAsia" w:ascii="黑体" w:hAnsi="Times New Roman" w:eastAsia="黑体" w:cs="Times New Roman"/>
          <w:snapToGrid/>
          <w:sz w:val="24"/>
          <w:szCs w:val="24"/>
          <w:lang w:eastAsia="zh-CN"/>
        </w:rPr>
        <w:t>银行（纸质）保函格式</w:t>
      </w:r>
    </w:p>
    <w:p w14:paraId="05395923">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投标人（即“申请人”）：</w:t>
      </w:r>
    </w:p>
    <w:p w14:paraId="041D4DB7">
      <w:pPr>
        <w:widowControl w:val="0"/>
        <w:tabs>
          <w:tab w:val="left" w:pos="35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733B0938">
      <w:pPr>
        <w:widowControl w:val="0"/>
        <w:tabs>
          <w:tab w:val="left" w:pos="3541"/>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招标人（即“受益人”）：</w:t>
      </w:r>
    </w:p>
    <w:p w14:paraId="3ADD9BD6">
      <w:pPr>
        <w:widowControl w:val="0"/>
        <w:tabs>
          <w:tab w:val="left" w:pos="3657"/>
        </w:tabs>
        <w:kinsoku/>
        <w:autoSpaceDE/>
        <w:autoSpaceDN/>
        <w:adjustRightInd/>
        <w:snapToGrid/>
        <w:spacing w:line="440" w:lineRule="exact"/>
        <w:ind w:firstLine="476" w:firstLineChars="200"/>
        <w:jc w:val="both"/>
        <w:rPr>
          <w:rFonts w:ascii="Times New Roman" w:hAnsi="Times New Roman" w:eastAsia="Times New Roman" w:cs="Times New Roman"/>
          <w:snapToGrid/>
          <w:sz w:val="24"/>
          <w:szCs w:val="24"/>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62B02932">
      <w:pPr>
        <w:widowControl w:val="0"/>
        <w:tabs>
          <w:tab w:val="left" w:pos="4137"/>
          <w:tab w:val="left" w:pos="486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开</w:t>
      </w:r>
      <w:r>
        <w:rPr>
          <w:rFonts w:ascii="宋体" w:hAnsi="Times New Roman" w:eastAsia="宋体" w:cs="Times New Roman"/>
          <w:snapToGrid/>
          <w:sz w:val="24"/>
          <w:szCs w:val="24"/>
          <w:lang w:eastAsia="zh-CN"/>
        </w:rPr>
        <w:t>立人（出函银行）：</w:t>
      </w:r>
      <w:r>
        <w:rPr>
          <w:rFonts w:ascii="Times New Roman" w:hAnsi="Times New Roman" w:eastAsia="Times New Roman" w:cs="Times New Roman"/>
          <w:snapToGrid/>
          <w:sz w:val="24"/>
          <w:szCs w:val="24"/>
          <w:u w:val="single" w:color="000000"/>
          <w:lang w:eastAsia="zh-CN"/>
        </w:rPr>
        <w:tab/>
      </w:r>
      <w:r>
        <w:rPr>
          <w:rFonts w:ascii="Times New Roman" w:hAnsi="Times New Roman" w:eastAsia="Times New Roman" w:cs="Times New Roman"/>
          <w:snapToGrid/>
          <w:sz w:val="24"/>
          <w:szCs w:val="24"/>
          <w:u w:val="single" w:color="000000"/>
          <w:lang w:eastAsia="zh-CN"/>
        </w:rPr>
        <w:tab/>
      </w:r>
    </w:p>
    <w:p w14:paraId="1B2955CF">
      <w:pPr>
        <w:widowControl w:val="0"/>
        <w:tabs>
          <w:tab w:val="left" w:pos="4137"/>
          <w:tab w:val="left" w:pos="5339"/>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1BCD963B">
      <w:pPr>
        <w:widowControl w:val="0"/>
        <w:kinsoku/>
        <w:autoSpaceDE/>
        <w:autoSpaceDN/>
        <w:adjustRightInd/>
        <w:snapToGrid/>
        <w:spacing w:line="360" w:lineRule="auto"/>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致：</w:t>
      </w:r>
      <w:r>
        <w:rPr>
          <w:rFonts w:ascii="宋体" w:hAnsi="Times New Roman" w:eastAsia="宋体" w:cs="Times New Roman"/>
          <w:snapToGrid/>
          <w:sz w:val="24"/>
          <w:szCs w:val="24"/>
          <w:u w:val="single"/>
          <w:lang w:eastAsia="zh-CN"/>
        </w:rPr>
        <w:t>（招标人名称）</w:t>
      </w:r>
    </w:p>
    <w:p w14:paraId="39091978">
      <w:pPr>
        <w:widowControl w:val="0"/>
        <w:kinsoku/>
        <w:autoSpaceDE/>
        <w:autoSpaceDN/>
        <w:adjustRightInd/>
        <w:snapToGrid/>
        <w:spacing w:line="360" w:lineRule="auto"/>
        <w:ind w:firstLine="480" w:firstLineChars="200"/>
        <w:jc w:val="both"/>
        <w:rPr>
          <w:rFonts w:hint="eastAsia" w:ascii="宋体" w:hAnsi="宋体" w:eastAsia="宋体" w:cs="Times New Roman"/>
          <w:snapToGrid/>
          <w:sz w:val="24"/>
          <w:szCs w:val="20"/>
          <w:lang w:eastAsia="zh-CN"/>
        </w:rPr>
      </w:pPr>
      <w:r>
        <w:rPr>
          <w:rFonts w:hint="eastAsia" w:ascii="宋体" w:hAnsi="宋体" w:eastAsia="宋体" w:cs="Times New Roman"/>
          <w:snapToGrid/>
          <w:sz w:val="24"/>
          <w:szCs w:val="20"/>
          <w:lang w:eastAsia="zh-CN"/>
        </w:rPr>
        <w:t>我方（即“开立人”）已获得通知，本保函申请人（即“投标人”）已响应贵方于年月日就（以下简称“本项目”）发出的招标文件，并已向招标人（即“受益人”）提交了投标文件（即“基础交易”）。</w:t>
      </w:r>
    </w:p>
    <w:p w14:paraId="2D22E7BD">
      <w:pPr>
        <w:widowControl w:val="0"/>
        <w:tabs>
          <w:tab w:val="left" w:pos="1918"/>
        </w:tabs>
        <w:kinsoku/>
        <w:autoSpaceDE/>
        <w:autoSpaceDN/>
        <w:adjustRightInd/>
        <w:snapToGrid/>
        <w:spacing w:line="360" w:lineRule="auto"/>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一</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我方理解根据招标条件</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投标人必须提交一份投标保</w:t>
      </w:r>
      <w:r>
        <w:rPr>
          <w:rFonts w:ascii="宋体" w:hAnsi="Times New Roman" w:eastAsia="宋体" w:cs="Times New Roman"/>
          <w:snapToGrid/>
          <w:spacing w:val="-48"/>
          <w:sz w:val="24"/>
          <w:szCs w:val="24"/>
          <w:lang w:eastAsia="zh-CN"/>
        </w:rPr>
        <w:t>函</w:t>
      </w:r>
      <w:r>
        <w:rPr>
          <w:rFonts w:hint="eastAsia" w:ascii="宋体" w:hAnsi="Times New Roman" w:eastAsia="宋体" w:cs="Times New Roman"/>
          <w:snapToGrid/>
          <w:sz w:val="24"/>
          <w:szCs w:val="24"/>
          <w:lang w:eastAsia="zh-CN"/>
        </w:rPr>
        <w:t>，</w:t>
      </w:r>
      <w:r>
        <w:rPr>
          <w:rFonts w:hint="eastAsia" w:ascii="宋体" w:hAnsi="Times New Roman" w:eastAsia="宋体" w:cs="Times New Roman"/>
          <w:b/>
          <w:snapToGrid/>
          <w:spacing w:val="-48"/>
          <w:sz w:val="24"/>
          <w:szCs w:val="24"/>
          <w:lang w:eastAsia="zh-CN"/>
        </w:rPr>
        <w:t>（</w:t>
      </w:r>
      <w:r>
        <w:rPr>
          <w:rFonts w:hint="eastAsia" w:ascii="宋体" w:hAnsi="Times New Roman" w:eastAsia="宋体" w:cs="Times New Roman"/>
          <w:b/>
          <w:snapToGrid/>
          <w:sz w:val="24"/>
          <w:szCs w:val="24"/>
          <w:lang w:eastAsia="zh-CN"/>
        </w:rPr>
        <w:t>以下简称</w:t>
      </w:r>
      <w:r>
        <w:rPr>
          <w:rFonts w:ascii="宋体" w:hAnsi="Times New Roman" w:eastAsia="宋体" w:cs="Times New Roman"/>
          <w:b/>
          <w:snapToGrid/>
          <w:sz w:val="24"/>
          <w:szCs w:val="24"/>
          <w:lang w:eastAsia="zh-CN"/>
        </w:rPr>
        <w:t>“</w:t>
      </w:r>
      <w:r>
        <w:rPr>
          <w:rFonts w:hint="eastAsia" w:ascii="宋体" w:hAnsi="Times New Roman" w:eastAsia="宋体" w:cs="Times New Roman"/>
          <w:b/>
          <w:snapToGrid/>
          <w:sz w:val="24"/>
          <w:szCs w:val="24"/>
          <w:lang w:eastAsia="zh-CN"/>
        </w:rPr>
        <w:t>本保函</w:t>
      </w:r>
      <w:r>
        <w:rPr>
          <w:rFonts w:ascii="宋体" w:hAnsi="Times New Roman" w:eastAsia="宋体" w:cs="Times New Roman"/>
          <w:b/>
          <w:snapToGrid/>
          <w:sz w:val="24"/>
          <w:szCs w:val="24"/>
          <w:lang w:eastAsia="zh-CN"/>
        </w:rPr>
        <w:t>”）</w:t>
      </w:r>
      <w:r>
        <w:rPr>
          <w:rFonts w:hint="eastAsia" w:ascii="宋体" w:hAnsi="Times New Roman" w:eastAsia="宋体" w:cs="Times New Roman"/>
          <w:snapToGrid/>
          <w:spacing w:val="-54"/>
          <w:sz w:val="24"/>
          <w:szCs w:val="24"/>
          <w:lang w:eastAsia="zh-CN"/>
        </w:rPr>
        <w:t>，</w:t>
      </w:r>
      <w:r>
        <w:rPr>
          <w:rFonts w:ascii="宋体" w:hAnsi="Times New Roman" w:eastAsia="宋体" w:cs="Times New Roman"/>
          <w:snapToGrid/>
          <w:sz w:val="24"/>
          <w:szCs w:val="24"/>
          <w:lang w:eastAsia="zh-CN"/>
        </w:rPr>
        <w:t>以担保投标人诚信履行其在</w:t>
      </w:r>
      <w:r>
        <w:rPr>
          <w:rFonts w:ascii="宋体" w:hAnsi="Times New Roman" w:eastAsia="宋体" w:cs="Times New Roman"/>
          <w:b/>
          <w:snapToGrid/>
          <w:sz w:val="24"/>
          <w:szCs w:val="24"/>
          <w:lang w:eastAsia="zh-CN"/>
        </w:rPr>
        <w:t>上述基础交易</w:t>
      </w:r>
      <w:r>
        <w:rPr>
          <w:rFonts w:ascii="宋体" w:hAnsi="Times New Roman" w:eastAsia="宋体" w:cs="Times New Roman"/>
          <w:snapToGrid/>
          <w:sz w:val="24"/>
          <w:szCs w:val="24"/>
          <w:lang w:eastAsia="zh-CN"/>
        </w:rPr>
        <w:t>中承担的投标人义务。鉴此，应投标人要求，</w:t>
      </w:r>
      <w:r>
        <w:rPr>
          <w:rFonts w:ascii="宋体" w:hAnsi="Times New Roman" w:eastAsia="宋体" w:cs="Times New Roman"/>
          <w:snapToGrid/>
          <w:spacing w:val="12"/>
          <w:sz w:val="24"/>
          <w:szCs w:val="24"/>
          <w:lang w:eastAsia="zh-CN"/>
        </w:rPr>
        <w:t>我方在此</w:t>
      </w:r>
      <w:r>
        <w:rPr>
          <w:rFonts w:ascii="宋体" w:hAnsi="Times New Roman" w:eastAsia="宋体" w:cs="Times New Roman"/>
          <w:snapToGrid/>
          <w:spacing w:val="14"/>
          <w:sz w:val="24"/>
          <w:szCs w:val="24"/>
          <w:lang w:eastAsia="zh-CN"/>
        </w:rPr>
        <w:t>同</w:t>
      </w:r>
      <w:r>
        <w:rPr>
          <w:rFonts w:ascii="宋体" w:hAnsi="Times New Roman" w:eastAsia="宋体" w:cs="Times New Roman"/>
          <w:snapToGrid/>
          <w:spacing w:val="12"/>
          <w:sz w:val="24"/>
          <w:szCs w:val="24"/>
          <w:lang w:eastAsia="zh-CN"/>
        </w:rPr>
        <w:t>意向贵方出具此</w:t>
      </w:r>
      <w:r>
        <w:rPr>
          <w:rFonts w:ascii="宋体" w:hAnsi="Times New Roman" w:eastAsia="宋体" w:cs="Times New Roman"/>
          <w:snapToGrid/>
          <w:spacing w:val="14"/>
          <w:sz w:val="24"/>
          <w:szCs w:val="24"/>
          <w:lang w:eastAsia="zh-CN"/>
        </w:rPr>
        <w:t>投</w:t>
      </w:r>
      <w:r>
        <w:rPr>
          <w:rFonts w:ascii="宋体" w:hAnsi="Times New Roman" w:eastAsia="宋体" w:cs="Times New Roman"/>
          <w:snapToGrid/>
          <w:spacing w:val="12"/>
          <w:sz w:val="24"/>
          <w:szCs w:val="24"/>
          <w:lang w:eastAsia="zh-CN"/>
        </w:rPr>
        <w:t>标保函，本保函担</w:t>
      </w:r>
      <w:r>
        <w:rPr>
          <w:rFonts w:ascii="宋体" w:hAnsi="Times New Roman" w:eastAsia="宋体" w:cs="Times New Roman"/>
          <w:snapToGrid/>
          <w:spacing w:val="14"/>
          <w:sz w:val="24"/>
          <w:szCs w:val="24"/>
          <w:lang w:eastAsia="zh-CN"/>
        </w:rPr>
        <w:t>保</w:t>
      </w:r>
      <w:r>
        <w:rPr>
          <w:rFonts w:ascii="宋体" w:hAnsi="Times New Roman" w:eastAsia="宋体" w:cs="Times New Roman"/>
          <w:snapToGrid/>
          <w:spacing w:val="12"/>
          <w:sz w:val="24"/>
          <w:szCs w:val="24"/>
          <w:lang w:eastAsia="zh-CN"/>
        </w:rPr>
        <w:t>金额最高不超过人民币（</w:t>
      </w:r>
      <w:r>
        <w:rPr>
          <w:rFonts w:ascii="宋体" w:hAnsi="Times New Roman" w:eastAsia="宋体" w:cs="Times New Roman"/>
          <w:snapToGrid/>
          <w:spacing w:val="14"/>
          <w:sz w:val="24"/>
          <w:szCs w:val="24"/>
          <w:lang w:eastAsia="zh-CN"/>
        </w:rPr>
        <w:t>大</w:t>
      </w:r>
      <w:r>
        <w:rPr>
          <w:rFonts w:ascii="宋体" w:hAnsi="Times New Roman" w:eastAsia="宋体" w:cs="Times New Roman"/>
          <w:snapToGrid/>
          <w:spacing w:val="12"/>
          <w:sz w:val="24"/>
          <w:szCs w:val="24"/>
          <w:lang w:eastAsia="zh-CN"/>
        </w:rPr>
        <w:t>写</w:t>
      </w:r>
      <w:r>
        <w:rPr>
          <w:rFonts w:ascii="宋体" w:hAnsi="Times New Roman" w:eastAsia="宋体" w:cs="Times New Roman"/>
          <w:snapToGrid/>
          <w:sz w:val="24"/>
          <w:szCs w:val="24"/>
          <w:lang w:eastAsia="zh-CN"/>
        </w:rPr>
        <w:t>）元（¥</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w:t>
      </w:r>
    </w:p>
    <w:p w14:paraId="2F20FAA7">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二、</w:t>
      </w:r>
      <w:r>
        <w:rPr>
          <w:rFonts w:ascii="宋体" w:hAnsi="Times New Roman" w:eastAsia="宋体" w:cs="Times New Roman"/>
          <w:snapToGrid/>
          <w:sz w:val="24"/>
          <w:szCs w:val="24"/>
          <w:lang w:eastAsia="zh-CN"/>
        </w:rPr>
        <w:t>我方在投标人发生以下情形时承担保证担保责任：</w:t>
      </w:r>
    </w:p>
    <w:p w14:paraId="1F3CACF7">
      <w:pPr>
        <w:widowControl w:val="0"/>
        <w:tabs>
          <w:tab w:val="left" w:pos="1560"/>
        </w:tabs>
        <w:kinsoku/>
        <w:autoSpaceDE/>
        <w:autoSpaceDN/>
        <w:adjustRightInd/>
        <w:snapToGrid/>
        <w:spacing w:line="440" w:lineRule="exact"/>
        <w:ind w:firstLine="240" w:firstLineChars="1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（1）</w:t>
      </w:r>
      <w:r>
        <w:rPr>
          <w:rFonts w:ascii="宋体" w:hAnsi="Times New Roman" w:eastAsia="宋体" w:cs="Times New Roman"/>
          <w:snapToGrid/>
          <w:sz w:val="24"/>
          <w:szCs w:val="24"/>
          <w:lang w:eastAsia="zh-CN"/>
        </w:rPr>
        <w:t>投标人在开标后和投标有效期满之前撤销投标的；</w:t>
      </w:r>
    </w:p>
    <w:p w14:paraId="75C44077">
      <w:pPr>
        <w:widowControl w:val="0"/>
        <w:kinsoku/>
        <w:autoSpaceDE/>
        <w:autoSpaceDN/>
        <w:adjustRightInd/>
        <w:snapToGrid/>
        <w:spacing w:line="440" w:lineRule="exact"/>
        <w:ind w:firstLine="240" w:firstLineChars="100"/>
        <w:jc w:val="both"/>
        <w:rPr>
          <w:rFonts w:hint="eastAsia" w:ascii="宋体" w:hAnsi="宋体" w:eastAsia="宋体" w:cs="Times New Roman"/>
          <w:snapToGrid/>
          <w:sz w:val="24"/>
          <w:szCs w:val="24"/>
          <w:lang w:eastAsia="zh-CN"/>
        </w:rPr>
      </w:pPr>
      <w:r>
        <w:rPr>
          <w:rFonts w:hint="eastAsia" w:ascii="宋体" w:hAnsi="Times New Roman" w:eastAsia="宋体" w:cs="Times New Roman"/>
          <w:snapToGrid/>
          <w:sz w:val="24"/>
          <w:szCs w:val="24"/>
          <w:lang w:eastAsia="zh-CN"/>
        </w:rPr>
        <w:t>（2）</w:t>
      </w:r>
      <w:r>
        <w:rPr>
          <w:rFonts w:hint="eastAsia" w:ascii="宋体" w:hAnsi="宋体" w:eastAsia="宋体" w:cs="Times New Roman"/>
          <w:snapToGrid/>
          <w:sz w:val="24"/>
          <w:szCs w:val="24"/>
          <w:lang w:eastAsia="zh-CN"/>
        </w:rPr>
        <w:t>投标人在中标后无正当理由不与招标人订立合同或者签订合同时向招标人提出附加条件的；</w:t>
      </w:r>
    </w:p>
    <w:p w14:paraId="04EA130A">
      <w:pPr>
        <w:widowControl w:val="0"/>
        <w:kinsoku/>
        <w:autoSpaceDE/>
        <w:autoSpaceDN/>
        <w:adjustRightInd/>
        <w:snapToGrid/>
        <w:spacing w:line="440" w:lineRule="exact"/>
        <w:ind w:firstLine="240" w:firstLineChars="100"/>
        <w:jc w:val="both"/>
        <w:rPr>
          <w:rFonts w:hint="eastAsia" w:ascii="宋体" w:hAnsi="宋体" w:eastAsia="宋体" w:cs="Times New Roman"/>
          <w:snapToGrid/>
          <w:sz w:val="24"/>
          <w:szCs w:val="24"/>
          <w:lang w:eastAsia="zh-CN"/>
        </w:rPr>
      </w:pPr>
      <w:r>
        <w:rPr>
          <w:rFonts w:hint="eastAsia" w:ascii="宋体" w:hAnsi="宋体" w:eastAsia="宋体" w:cs="Times New Roman"/>
          <w:snapToGrid/>
          <w:sz w:val="24"/>
          <w:szCs w:val="24"/>
          <w:lang w:eastAsia="zh-CN"/>
        </w:rPr>
        <w:t>（3）投标人在中标后不按照招标文件要求提交履约保证金或履约担保的；</w:t>
      </w:r>
    </w:p>
    <w:p w14:paraId="22E91936">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投标人</w:t>
      </w:r>
      <w:r>
        <w:rPr>
          <w:rFonts w:hint="eastAsia" w:ascii="Times New Roman" w:hAnsi="Times New Roman" w:eastAsia="宋体" w:cs="Times New Roman"/>
          <w:snapToGrid/>
          <w:sz w:val="24"/>
          <w:szCs w:val="24"/>
          <w:lang w:eastAsia="zh-CN"/>
        </w:rPr>
        <w:t>违反招标文件规定，依照招标文件的约定属于投标保证金不予退还</w:t>
      </w:r>
      <w:r>
        <w:rPr>
          <w:rFonts w:ascii="Times New Roman" w:hAnsi="Times New Roman" w:eastAsia="宋体" w:cs="Times New Roman"/>
          <w:snapToGrid/>
          <w:sz w:val="24"/>
          <w:szCs w:val="24"/>
          <w:lang w:eastAsia="zh-CN"/>
        </w:rPr>
        <w:t>的</w:t>
      </w:r>
      <w:r>
        <w:rPr>
          <w:rFonts w:hint="eastAsia" w:ascii="Times New Roman" w:hAnsi="Times New Roman" w:eastAsia="宋体" w:cs="Times New Roman"/>
          <w:snapToGrid/>
          <w:sz w:val="24"/>
          <w:szCs w:val="24"/>
          <w:lang w:eastAsia="zh-CN"/>
        </w:rPr>
        <w:t>；</w:t>
      </w:r>
    </w:p>
    <w:p w14:paraId="6378F765">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（5）</w:t>
      </w:r>
      <w:r>
        <w:rPr>
          <w:rFonts w:ascii="Times New Roman" w:hAnsi="Times New Roman" w:eastAsia="宋体" w:cs="Times New Roman"/>
          <w:snapToGrid/>
          <w:sz w:val="24"/>
          <w:szCs w:val="24"/>
          <w:lang w:eastAsia="zh-CN"/>
        </w:rPr>
        <w:t>投标人</w:t>
      </w:r>
      <w:r>
        <w:rPr>
          <w:rFonts w:hint="eastAsia" w:ascii="Times New Roman" w:hAnsi="Times New Roman" w:eastAsia="宋体" w:cs="Times New Roman"/>
          <w:snapToGrid/>
          <w:sz w:val="24"/>
          <w:szCs w:val="24"/>
          <w:lang w:eastAsia="zh-CN"/>
        </w:rPr>
        <w:t>违反投标承诺，依照招标文件的约定和投标文件承诺，属于投标保证金不予退还的；</w:t>
      </w:r>
    </w:p>
    <w:p w14:paraId="32B7C22C">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（6）</w:t>
      </w:r>
      <w:r>
        <w:rPr>
          <w:rFonts w:ascii="Times New Roman" w:hAnsi="Times New Roman" w:eastAsia="宋体" w:cs="Times New Roman"/>
          <w:snapToGrid/>
          <w:sz w:val="24"/>
          <w:szCs w:val="24"/>
          <w:lang w:eastAsia="zh-CN"/>
        </w:rPr>
        <w:t>投标人</w:t>
      </w:r>
      <w:r>
        <w:rPr>
          <w:rFonts w:hint="eastAsia" w:ascii="Times New Roman" w:hAnsi="Times New Roman" w:eastAsia="宋体" w:cs="Times New Roman"/>
          <w:snapToGrid/>
          <w:sz w:val="24"/>
          <w:szCs w:val="24"/>
          <w:lang w:eastAsia="zh-CN"/>
        </w:rPr>
        <w:t>违反招标文件约定的其他情形。</w:t>
      </w:r>
    </w:p>
    <w:p w14:paraId="4EA0DBB7">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三、本保函为不可撤销、不可转让的见索即付独立保函。本保函有效期自开立之日</w:t>
      </w:r>
      <w:r>
        <w:rPr>
          <w:rFonts w:ascii="宋体" w:hAnsi="Times New Roman" w:eastAsia="宋体" w:cs="Times New Roman"/>
          <w:snapToGrid/>
          <w:sz w:val="24"/>
          <w:szCs w:val="24"/>
          <w:lang w:eastAsia="zh-CN"/>
        </w:rPr>
        <w:t>起至投标有效期届满之日后的</w:t>
      </w:r>
      <w:r>
        <w:rPr>
          <w:rFonts w:ascii="宋体" w:hAnsi="Times New Roman" w:eastAsia="宋体" w:cs="Times New Roman"/>
          <w:snapToGrid/>
          <w:spacing w:val="-8"/>
          <w:sz w:val="24"/>
          <w:szCs w:val="24"/>
          <w:lang w:eastAsia="zh-CN"/>
        </w:rPr>
        <w:t>日。投标有效期延长的，本保函有效期相应顺延，最</w:t>
      </w:r>
      <w:r>
        <w:rPr>
          <w:rFonts w:ascii="宋体" w:hAnsi="Times New Roman" w:eastAsia="宋体" w:cs="Times New Roman"/>
          <w:snapToGrid/>
          <w:sz w:val="24"/>
          <w:szCs w:val="24"/>
          <w:lang w:eastAsia="zh-CN"/>
        </w:rPr>
        <w:t>迟不超过年月日。</w:t>
      </w:r>
    </w:p>
    <w:p w14:paraId="0C19CB22">
      <w:pPr>
        <w:widowControl w:val="0"/>
        <w:tabs>
          <w:tab w:val="left" w:pos="7164"/>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四</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我方承诺</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在收到招标人发来的书面付款通知后的</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日内无条件支付</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前</w:t>
      </w:r>
      <w:r>
        <w:rPr>
          <w:rFonts w:ascii="宋体" w:hAnsi="Times New Roman" w:eastAsia="宋体" w:cs="Times New Roman"/>
          <w:snapToGrid/>
          <w:spacing w:val="-18"/>
          <w:sz w:val="24"/>
          <w:szCs w:val="24"/>
          <w:lang w:eastAsia="zh-CN"/>
        </w:rPr>
        <w:t>述</w:t>
      </w:r>
      <w:r>
        <w:rPr>
          <w:rFonts w:ascii="宋体" w:hAnsi="Times New Roman" w:eastAsia="宋体" w:cs="Times New Roman"/>
          <w:snapToGrid/>
          <w:sz w:val="24"/>
          <w:szCs w:val="24"/>
          <w:lang w:eastAsia="zh-CN"/>
        </w:rPr>
        <w:t>书面付款通知即为付款要求之单据，且应满足以下要求：</w:t>
      </w:r>
    </w:p>
    <w:p w14:paraId="54928E0C">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w:t>
      </w:r>
      <w:r>
        <w:rPr>
          <w:rFonts w:ascii="Times New Roman" w:hAnsi="Times New Roman" w:eastAsia="宋体" w:cs="Times New Roman"/>
          <w:snapToGrid/>
          <w:sz w:val="24"/>
          <w:szCs w:val="24"/>
          <w:lang w:eastAsia="zh-CN"/>
        </w:rPr>
        <w:t>付款通知到达的日期在本保函的有效期内；</w:t>
      </w:r>
    </w:p>
    <w:p w14:paraId="15605321">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w:t>
      </w:r>
      <w:r>
        <w:rPr>
          <w:rFonts w:ascii="Times New Roman" w:hAnsi="Times New Roman" w:eastAsia="宋体" w:cs="Times New Roman"/>
          <w:snapToGrid/>
          <w:sz w:val="24"/>
          <w:szCs w:val="24"/>
          <w:lang w:eastAsia="zh-CN"/>
        </w:rPr>
        <w:t>载明要求支付的金额；</w:t>
      </w:r>
    </w:p>
    <w:p w14:paraId="2B61DAA1">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b/>
          <w:snapToGrid/>
          <w:sz w:val="24"/>
          <w:szCs w:val="24"/>
          <w:lang w:eastAsia="zh-CN"/>
        </w:rPr>
      </w:pPr>
      <w:r>
        <w:rPr>
          <w:rFonts w:hint="eastAsia" w:ascii="Times New Roman" w:hAnsi="Times New Roman" w:eastAsia="宋体" w:cs="Times New Roman"/>
          <w:snapToGrid/>
          <w:sz w:val="24"/>
          <w:szCs w:val="24"/>
          <w:lang w:eastAsia="zh-CN"/>
        </w:rPr>
        <w:t>（3）</w:t>
      </w:r>
      <w:r>
        <w:rPr>
          <w:rFonts w:ascii="Times New Roman" w:hAnsi="Times New Roman" w:eastAsia="宋体" w:cs="Times New Roman"/>
          <w:b/>
          <w:snapToGrid/>
          <w:sz w:val="24"/>
          <w:szCs w:val="24"/>
          <w:lang w:eastAsia="zh-CN"/>
        </w:rPr>
        <w:t>载明申请人</w:t>
      </w:r>
      <w:r>
        <w:rPr>
          <w:rFonts w:hint="eastAsia" w:ascii="Times New Roman" w:hAnsi="Times New Roman" w:eastAsia="宋体" w:cs="Times New Roman"/>
          <w:b/>
          <w:snapToGrid/>
          <w:sz w:val="24"/>
          <w:szCs w:val="24"/>
          <w:lang w:eastAsia="zh-CN"/>
        </w:rPr>
        <w:t>（即投标人）</w:t>
      </w:r>
      <w:r>
        <w:rPr>
          <w:rFonts w:ascii="Times New Roman" w:hAnsi="Times New Roman" w:eastAsia="宋体" w:cs="Times New Roman"/>
          <w:b/>
          <w:snapToGrid/>
          <w:sz w:val="24"/>
          <w:szCs w:val="24"/>
          <w:lang w:eastAsia="zh-CN"/>
        </w:rPr>
        <w:t>违反</w:t>
      </w:r>
      <w:r>
        <w:rPr>
          <w:rFonts w:hint="eastAsia" w:ascii="Times New Roman" w:hAnsi="Times New Roman" w:eastAsia="宋体" w:cs="Times New Roman"/>
          <w:b/>
          <w:snapToGrid/>
          <w:sz w:val="24"/>
          <w:szCs w:val="24"/>
          <w:lang w:eastAsia="zh-CN"/>
        </w:rPr>
        <w:t>法律法规或者</w:t>
      </w:r>
      <w:r>
        <w:rPr>
          <w:rFonts w:ascii="Times New Roman" w:hAnsi="Times New Roman" w:eastAsia="宋体" w:cs="Times New Roman"/>
          <w:b/>
          <w:snapToGrid/>
          <w:sz w:val="24"/>
          <w:szCs w:val="24"/>
          <w:lang w:eastAsia="zh-CN"/>
        </w:rPr>
        <w:t>招标文件</w:t>
      </w:r>
      <w:r>
        <w:rPr>
          <w:rFonts w:hint="eastAsia" w:ascii="Times New Roman" w:hAnsi="Times New Roman" w:eastAsia="宋体" w:cs="Times New Roman"/>
          <w:b/>
          <w:snapToGrid/>
          <w:sz w:val="24"/>
          <w:szCs w:val="24"/>
          <w:lang w:eastAsia="zh-CN"/>
        </w:rPr>
        <w:t>约</w:t>
      </w:r>
      <w:r>
        <w:rPr>
          <w:rFonts w:ascii="Times New Roman" w:hAnsi="Times New Roman" w:eastAsia="宋体" w:cs="Times New Roman"/>
          <w:b/>
          <w:snapToGrid/>
          <w:sz w:val="24"/>
          <w:szCs w:val="24"/>
          <w:lang w:eastAsia="zh-CN"/>
        </w:rPr>
        <w:t>定</w:t>
      </w:r>
      <w:r>
        <w:rPr>
          <w:rFonts w:hint="eastAsia" w:ascii="Times New Roman" w:hAnsi="Times New Roman" w:eastAsia="宋体" w:cs="Times New Roman"/>
          <w:b/>
          <w:snapToGrid/>
          <w:sz w:val="24"/>
          <w:szCs w:val="24"/>
          <w:lang w:eastAsia="zh-CN"/>
        </w:rPr>
        <w:t>或者投标文件承诺</w:t>
      </w:r>
      <w:r>
        <w:rPr>
          <w:rFonts w:ascii="Times New Roman" w:hAnsi="Times New Roman" w:eastAsia="宋体" w:cs="Times New Roman"/>
          <w:b/>
          <w:snapToGrid/>
          <w:sz w:val="24"/>
          <w:szCs w:val="24"/>
          <w:lang w:eastAsia="zh-CN"/>
        </w:rPr>
        <w:t>的义务内容和具体条款</w:t>
      </w:r>
      <w:r>
        <w:rPr>
          <w:rFonts w:hint="eastAsia" w:ascii="Times New Roman" w:hAnsi="Times New Roman" w:eastAsia="宋体" w:cs="Times New Roman"/>
          <w:b/>
          <w:snapToGrid/>
          <w:sz w:val="24"/>
          <w:szCs w:val="24"/>
          <w:lang w:eastAsia="zh-CN"/>
        </w:rPr>
        <w:t>；</w:t>
      </w:r>
    </w:p>
    <w:p w14:paraId="640D0A75">
      <w:pPr>
        <w:widowControl w:val="0"/>
        <w:tabs>
          <w:tab w:val="left" w:pos="1560"/>
          <w:tab w:val="left" w:pos="8158"/>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书面付款通知应在本保函有效期内到达的地址是：</w:t>
      </w:r>
      <w:r>
        <w:rPr>
          <w:rFonts w:ascii="Times New Roman" w:hAnsi="Times New Roman" w:eastAsia="宋体" w:cs="Times New Roman"/>
          <w:snapToGrid/>
          <w:sz w:val="24"/>
          <w:szCs w:val="24"/>
          <w:u w:val="single" w:color="000000"/>
          <w:lang w:eastAsia="zh-CN"/>
        </w:rPr>
        <w:tab/>
      </w:r>
      <w:r>
        <w:rPr>
          <w:rFonts w:ascii="Times New Roman" w:hAnsi="Times New Roman" w:eastAsia="宋体" w:cs="Times New Roman"/>
          <w:snapToGrid/>
          <w:sz w:val="24"/>
          <w:szCs w:val="24"/>
          <w:lang w:eastAsia="zh-CN"/>
        </w:rPr>
        <w:t>。</w:t>
      </w:r>
    </w:p>
    <w:p w14:paraId="63571EA4">
      <w:pPr>
        <w:widowControl w:val="0"/>
        <w:kinsoku/>
        <w:autoSpaceDE/>
        <w:autoSpaceDN/>
        <w:adjustRightInd/>
        <w:snapToGrid/>
        <w:spacing w:line="440" w:lineRule="exact"/>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招标人发出的书面付款通知应由其为鉴明招标人法定代表人（负责人）或授权代理人签字并加盖公章。</w:t>
      </w:r>
    </w:p>
    <w:p w14:paraId="203F6840">
      <w:pPr>
        <w:widowControl w:val="0"/>
        <w:kinsoku/>
        <w:autoSpaceDE/>
        <w:autoSpaceDN/>
        <w:adjustRightInd/>
        <w:snapToGrid/>
        <w:spacing w:line="440" w:lineRule="exact"/>
        <w:ind w:firstLine="452"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7"/>
          <w:sz w:val="24"/>
          <w:szCs w:val="24"/>
          <w:lang w:eastAsia="zh-CN"/>
        </w:rPr>
        <w:t>五、本保函项下的权利不得转让，不得设定担保。贵方未经我方书面同意转让本保</w:t>
      </w:r>
      <w:r>
        <w:rPr>
          <w:rFonts w:ascii="宋体" w:hAnsi="Times New Roman" w:eastAsia="宋体" w:cs="Times New Roman"/>
          <w:snapToGrid/>
          <w:sz w:val="24"/>
          <w:szCs w:val="24"/>
          <w:lang w:eastAsia="zh-CN"/>
        </w:rPr>
        <w:t>函或其项下任何权利，对我方不发生法律效力。</w:t>
      </w:r>
    </w:p>
    <w:p w14:paraId="3B8F1D97">
      <w:pPr>
        <w:widowControl w:val="0"/>
        <w:kinsoku/>
        <w:autoSpaceDE/>
        <w:autoSpaceDN/>
        <w:adjustRightInd/>
        <w:snapToGrid/>
        <w:spacing w:line="440" w:lineRule="exact"/>
        <w:ind w:firstLine="444"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9"/>
          <w:sz w:val="24"/>
          <w:szCs w:val="24"/>
          <w:lang w:eastAsia="zh-CN"/>
        </w:rPr>
        <w:t>六、本保函项下的</w:t>
      </w:r>
      <w:r>
        <w:rPr>
          <w:rFonts w:ascii="宋体" w:hAnsi="Times New Roman" w:eastAsia="宋体" w:cs="Times New Roman"/>
          <w:b/>
          <w:snapToGrid/>
          <w:spacing w:val="-9"/>
          <w:sz w:val="24"/>
          <w:szCs w:val="24"/>
          <w:lang w:eastAsia="zh-CN"/>
        </w:rPr>
        <w:t>基础交易</w:t>
      </w:r>
      <w:r>
        <w:rPr>
          <w:rFonts w:ascii="宋体" w:hAnsi="Times New Roman" w:eastAsia="宋体" w:cs="Times New Roman"/>
          <w:snapToGrid/>
          <w:spacing w:val="-9"/>
          <w:sz w:val="24"/>
          <w:szCs w:val="24"/>
          <w:lang w:eastAsia="zh-CN"/>
        </w:rPr>
        <w:t>不成立、不生效、无效、被撤销、被解除，不影响本保</w:t>
      </w:r>
      <w:r>
        <w:rPr>
          <w:rFonts w:ascii="宋体" w:hAnsi="Times New Roman" w:eastAsia="宋体" w:cs="Times New Roman"/>
          <w:snapToGrid/>
          <w:sz w:val="24"/>
          <w:szCs w:val="24"/>
          <w:lang w:eastAsia="zh-CN"/>
        </w:rPr>
        <w:t>函的独立有效，不影响开立人</w:t>
      </w:r>
      <w:r>
        <w:rPr>
          <w:rFonts w:hint="eastAsia" w:ascii="宋体" w:hAnsi="Times New Roman" w:eastAsia="宋体" w:cs="Times New Roman"/>
          <w:snapToGrid/>
          <w:sz w:val="24"/>
          <w:szCs w:val="24"/>
          <w:lang w:eastAsia="zh-CN"/>
        </w:rPr>
        <w:t>履行</w:t>
      </w:r>
      <w:r>
        <w:rPr>
          <w:rFonts w:ascii="宋体" w:hAnsi="Times New Roman" w:eastAsia="宋体" w:cs="Times New Roman"/>
          <w:snapToGrid/>
          <w:sz w:val="24"/>
          <w:szCs w:val="24"/>
          <w:lang w:eastAsia="zh-CN"/>
        </w:rPr>
        <w:t>见索即付</w:t>
      </w:r>
      <w:r>
        <w:rPr>
          <w:rFonts w:hint="eastAsia" w:ascii="宋体" w:hAnsi="Times New Roman" w:eastAsia="宋体" w:cs="Times New Roman"/>
          <w:snapToGrid/>
          <w:sz w:val="24"/>
          <w:szCs w:val="24"/>
          <w:lang w:eastAsia="zh-CN"/>
        </w:rPr>
        <w:t>义务</w:t>
      </w:r>
      <w:r>
        <w:rPr>
          <w:rFonts w:ascii="宋体" w:hAnsi="Times New Roman" w:eastAsia="宋体" w:cs="Times New Roman"/>
          <w:snapToGrid/>
          <w:sz w:val="24"/>
          <w:szCs w:val="24"/>
          <w:lang w:eastAsia="zh-CN"/>
        </w:rPr>
        <w:t>的责任。</w:t>
      </w:r>
    </w:p>
    <w:p w14:paraId="7C6F087D">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七、招标人应在本保函到期后的七日内将本保函正本退回我方注销，但是不论招标</w:t>
      </w:r>
      <w:r>
        <w:rPr>
          <w:rFonts w:ascii="宋体" w:hAnsi="Times New Roman" w:eastAsia="宋体" w:cs="Times New Roman"/>
          <w:snapToGrid/>
          <w:spacing w:val="-4"/>
          <w:sz w:val="24"/>
          <w:szCs w:val="24"/>
          <w:lang w:eastAsia="zh-CN"/>
        </w:rPr>
        <w:t>人是否按此要求将本保函正本退回我方，我方在本保函项下的义务和责任均在保函有效</w:t>
      </w:r>
      <w:r>
        <w:rPr>
          <w:rFonts w:ascii="宋体" w:hAnsi="Times New Roman" w:eastAsia="宋体" w:cs="Times New Roman"/>
          <w:snapToGrid/>
          <w:sz w:val="24"/>
          <w:szCs w:val="24"/>
          <w:lang w:eastAsia="zh-CN"/>
        </w:rPr>
        <w:t>期到期后自动消灭，但</w:t>
      </w:r>
      <w:r>
        <w:rPr>
          <w:rFonts w:hint="eastAsia" w:ascii="宋体" w:hAnsi="Times New Roman" w:eastAsia="宋体" w:cs="Times New Roman"/>
          <w:snapToGrid/>
          <w:sz w:val="24"/>
          <w:szCs w:val="24"/>
          <w:lang w:eastAsia="zh-CN"/>
        </w:rPr>
        <w:t>因</w:t>
      </w:r>
      <w:r>
        <w:rPr>
          <w:rFonts w:ascii="宋体" w:hAnsi="Times New Roman" w:eastAsia="宋体" w:cs="Times New Roman"/>
          <w:snapToGrid/>
          <w:sz w:val="24"/>
          <w:szCs w:val="24"/>
          <w:lang w:eastAsia="zh-CN"/>
        </w:rPr>
        <w:t>异议、投诉、立案处理的，本保函有效期将顺延到案件处理完毕之日后再顺延七日。</w:t>
      </w:r>
    </w:p>
    <w:p w14:paraId="4AA58D0F">
      <w:pPr>
        <w:widowControl w:val="0"/>
        <w:tabs>
          <w:tab w:val="left" w:pos="1318"/>
        </w:tabs>
        <w:kinsoku/>
        <w:autoSpaceDE/>
        <w:autoSpaceDN/>
        <w:adjustRightInd/>
        <w:snapToGrid/>
        <w:spacing w:line="440" w:lineRule="exact"/>
        <w:ind w:firstLine="496"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4"/>
          <w:sz w:val="24"/>
          <w:szCs w:val="24"/>
          <w:lang w:eastAsia="zh-CN"/>
        </w:rPr>
        <w:t>八、本</w:t>
      </w:r>
      <w:r>
        <w:rPr>
          <w:rFonts w:ascii="宋体" w:hAnsi="Times New Roman" w:eastAsia="宋体" w:cs="Times New Roman"/>
          <w:snapToGrid/>
          <w:spacing w:val="7"/>
          <w:sz w:val="24"/>
          <w:szCs w:val="24"/>
          <w:lang w:eastAsia="zh-CN"/>
        </w:rPr>
        <w:t>保</w:t>
      </w:r>
      <w:r>
        <w:rPr>
          <w:rFonts w:ascii="宋体" w:hAnsi="Times New Roman" w:eastAsia="宋体" w:cs="Times New Roman"/>
          <w:snapToGrid/>
          <w:spacing w:val="4"/>
          <w:sz w:val="24"/>
          <w:szCs w:val="24"/>
          <w:lang w:eastAsia="zh-CN"/>
        </w:rPr>
        <w:t>函适</w:t>
      </w:r>
      <w:r>
        <w:rPr>
          <w:rFonts w:ascii="宋体" w:hAnsi="Times New Roman" w:eastAsia="宋体" w:cs="Times New Roman"/>
          <w:snapToGrid/>
          <w:spacing w:val="7"/>
          <w:sz w:val="24"/>
          <w:szCs w:val="24"/>
          <w:lang w:eastAsia="zh-CN"/>
        </w:rPr>
        <w:t>用</w:t>
      </w:r>
      <w:r>
        <w:rPr>
          <w:rFonts w:ascii="宋体" w:hAnsi="Times New Roman" w:eastAsia="宋体" w:cs="Times New Roman"/>
          <w:snapToGrid/>
          <w:spacing w:val="4"/>
          <w:sz w:val="24"/>
          <w:szCs w:val="24"/>
          <w:lang w:eastAsia="zh-CN"/>
        </w:rPr>
        <w:t>的法</w:t>
      </w:r>
      <w:r>
        <w:rPr>
          <w:rFonts w:ascii="宋体" w:hAnsi="Times New Roman" w:eastAsia="宋体" w:cs="Times New Roman"/>
          <w:snapToGrid/>
          <w:spacing w:val="7"/>
          <w:sz w:val="24"/>
          <w:szCs w:val="24"/>
          <w:lang w:eastAsia="zh-CN"/>
        </w:rPr>
        <w:t>律</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pacing w:val="4"/>
          <w:sz w:val="24"/>
          <w:szCs w:val="24"/>
          <w:lang w:eastAsia="zh-CN"/>
        </w:rPr>
        <w:t>和国</w:t>
      </w:r>
      <w:r>
        <w:rPr>
          <w:rFonts w:ascii="宋体" w:hAnsi="Times New Roman" w:eastAsia="宋体" w:cs="Times New Roman"/>
          <w:snapToGrid/>
          <w:spacing w:val="7"/>
          <w:sz w:val="24"/>
          <w:szCs w:val="24"/>
          <w:lang w:eastAsia="zh-CN"/>
        </w:rPr>
        <w:t>法</w:t>
      </w:r>
      <w:r>
        <w:rPr>
          <w:rFonts w:ascii="宋体" w:hAnsi="Times New Roman" w:eastAsia="宋体" w:cs="Times New Roman"/>
          <w:snapToGrid/>
          <w:spacing w:val="4"/>
          <w:sz w:val="24"/>
          <w:szCs w:val="24"/>
          <w:lang w:eastAsia="zh-CN"/>
        </w:rPr>
        <w:t>律，</w:t>
      </w:r>
      <w:r>
        <w:rPr>
          <w:rFonts w:ascii="宋体" w:hAnsi="Times New Roman" w:eastAsia="宋体" w:cs="Times New Roman"/>
          <w:snapToGrid/>
          <w:spacing w:val="7"/>
          <w:sz w:val="24"/>
          <w:szCs w:val="24"/>
          <w:lang w:eastAsia="zh-CN"/>
        </w:rPr>
        <w:t>争</w:t>
      </w:r>
      <w:r>
        <w:rPr>
          <w:rFonts w:ascii="宋体" w:hAnsi="Times New Roman" w:eastAsia="宋体" w:cs="Times New Roman"/>
          <w:snapToGrid/>
          <w:spacing w:val="4"/>
          <w:sz w:val="24"/>
          <w:szCs w:val="24"/>
          <w:lang w:eastAsia="zh-CN"/>
        </w:rPr>
        <w:t>议裁</w:t>
      </w:r>
      <w:r>
        <w:rPr>
          <w:rFonts w:ascii="宋体" w:hAnsi="Times New Roman" w:eastAsia="宋体" w:cs="Times New Roman"/>
          <w:snapToGrid/>
          <w:spacing w:val="7"/>
          <w:sz w:val="24"/>
          <w:szCs w:val="24"/>
          <w:lang w:eastAsia="zh-CN"/>
        </w:rPr>
        <w:t>判</w:t>
      </w:r>
      <w:r>
        <w:rPr>
          <w:rFonts w:ascii="宋体" w:hAnsi="Times New Roman" w:eastAsia="宋体" w:cs="Times New Roman"/>
          <w:snapToGrid/>
          <w:spacing w:val="4"/>
          <w:sz w:val="24"/>
          <w:szCs w:val="24"/>
          <w:lang w:eastAsia="zh-CN"/>
        </w:rPr>
        <w:t>管辖</w:t>
      </w:r>
      <w:r>
        <w:rPr>
          <w:rFonts w:ascii="宋体" w:hAnsi="Times New Roman" w:eastAsia="宋体" w:cs="Times New Roman"/>
          <w:snapToGrid/>
          <w:spacing w:val="7"/>
          <w:sz w:val="24"/>
          <w:szCs w:val="24"/>
          <w:lang w:eastAsia="zh-CN"/>
        </w:rPr>
        <w:t>地</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z w:val="24"/>
          <w:szCs w:val="24"/>
          <w:lang w:eastAsia="zh-CN"/>
        </w:rPr>
        <w:t>和国</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w:t>
      </w:r>
    </w:p>
    <w:p w14:paraId="4C2156C9">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九、本保函自我方法定代表人或授权代表签字并加盖公章之日起生效</w:t>
      </w:r>
      <w:r>
        <w:rPr>
          <w:rFonts w:ascii="宋体" w:hAnsi="Times New Roman" w:eastAsia="宋体" w:cs="Times New Roman"/>
          <w:snapToGrid/>
          <w:spacing w:val="-17"/>
          <w:sz w:val="24"/>
          <w:szCs w:val="24"/>
          <w:lang w:eastAsia="zh-CN"/>
        </w:rPr>
        <w:t>。</w:t>
      </w:r>
    </w:p>
    <w:p w14:paraId="360B2ACC">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开立人（出函银行）：（公章</w:t>
      </w:r>
      <w:r>
        <w:rPr>
          <w:rFonts w:ascii="宋体" w:hAnsi="Times New Roman" w:eastAsia="宋体" w:cs="Times New Roman"/>
          <w:snapToGrid/>
          <w:spacing w:val="-17"/>
          <w:sz w:val="24"/>
          <w:szCs w:val="24"/>
          <w:lang w:eastAsia="zh-CN"/>
        </w:rPr>
        <w:t>）</w:t>
      </w:r>
    </w:p>
    <w:p w14:paraId="65759C6A">
      <w:pPr>
        <w:widowControl w:val="0"/>
        <w:tabs>
          <w:tab w:val="left" w:pos="1678"/>
          <w:tab w:val="left" w:pos="5697"/>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法定代表人（或授权代表）（出函银行）：</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（签字或签章</w:t>
      </w:r>
      <w:r>
        <w:rPr>
          <w:rFonts w:ascii="宋体" w:hAnsi="Times New Roman" w:eastAsia="宋体" w:cs="Times New Roman"/>
          <w:snapToGrid/>
          <w:spacing w:val="-17"/>
          <w:sz w:val="24"/>
          <w:szCs w:val="24"/>
          <w:lang w:eastAsia="zh-CN"/>
        </w:rPr>
        <w:t>）</w:t>
      </w:r>
    </w:p>
    <w:p w14:paraId="6BFE7336">
      <w:pPr>
        <w:widowControl w:val="0"/>
        <w:tabs>
          <w:tab w:val="left" w:pos="1200"/>
          <w:tab w:val="left" w:pos="5697"/>
          <w:tab w:val="left" w:pos="7438"/>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地</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址</w:t>
      </w:r>
      <w:r>
        <w:rPr>
          <w:rFonts w:ascii="宋体" w:hAnsi="Times New Roman" w:eastAsia="宋体" w:cs="Times New Roman"/>
          <w:snapToGrid/>
          <w:sz w:val="24"/>
          <w:szCs w:val="24"/>
          <w:lang w:eastAsia="zh-CN"/>
        </w:rPr>
        <w:t>：</w:t>
      </w:r>
    </w:p>
    <w:p w14:paraId="1B96BD41">
      <w:pPr>
        <w:widowControl w:val="0"/>
        <w:tabs>
          <w:tab w:val="left" w:pos="41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邮</w:t>
      </w:r>
      <w:r>
        <w:rPr>
          <w:rFonts w:ascii="宋体" w:hAnsi="Times New Roman" w:eastAsia="宋体" w:cs="Times New Roman"/>
          <w:snapToGrid/>
          <w:sz w:val="24"/>
          <w:szCs w:val="24"/>
          <w:lang w:eastAsia="zh-CN"/>
        </w:rPr>
        <w:t>政编码：</w:t>
      </w:r>
      <w:r>
        <w:rPr>
          <w:rFonts w:ascii="Times New Roman" w:hAnsi="Times New Roman" w:eastAsia="Times New Roman" w:cs="Times New Roman"/>
          <w:snapToGrid/>
          <w:sz w:val="24"/>
          <w:szCs w:val="24"/>
          <w:u w:val="single" w:color="000000"/>
          <w:lang w:eastAsia="zh-CN"/>
        </w:rPr>
        <w:tab/>
      </w:r>
    </w:p>
    <w:p w14:paraId="00E729FA">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电</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话</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3F421A9C">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传</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真</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6603B4C1">
      <w:pPr>
        <w:widowControl w:val="0"/>
        <w:tabs>
          <w:tab w:val="left" w:pos="4141"/>
        </w:tabs>
        <w:kinsoku/>
        <w:autoSpaceDE/>
        <w:autoSpaceDN/>
        <w:adjustRightInd/>
        <w:snapToGrid/>
        <w:spacing w:line="440" w:lineRule="exact"/>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开立时间：年月</w:t>
      </w:r>
    </w:p>
    <w:p w14:paraId="373A2C80">
      <w:pPr>
        <w:widowControl w:val="0"/>
        <w:kinsoku/>
        <w:autoSpaceDE/>
        <w:autoSpaceDN/>
        <w:adjustRightInd/>
        <w:snapToGrid/>
        <w:spacing w:line="440" w:lineRule="exact"/>
        <w:ind w:firstLine="448" w:firstLineChars="200"/>
        <w:textAlignment w:val="auto"/>
        <w:rPr>
          <w:rFonts w:ascii="宋体" w:hAnsi="Times New Roman" w:eastAsia="宋体" w:cs="Times New Roman"/>
          <w:snapToGrid/>
          <w:spacing w:val="-8"/>
          <w:sz w:val="24"/>
          <w:szCs w:val="24"/>
          <w:lang w:eastAsia="zh-CN"/>
        </w:rPr>
      </w:pPr>
      <w:r>
        <w:rPr>
          <w:rFonts w:ascii="宋体" w:hAnsi="Times New Roman" w:eastAsia="宋体" w:cs="Times New Roman"/>
          <w:snapToGrid/>
          <w:spacing w:val="-8"/>
          <w:sz w:val="24"/>
          <w:szCs w:val="24"/>
          <w:lang w:eastAsia="zh-CN"/>
        </w:rPr>
        <w:t>注：</w:t>
      </w:r>
      <w:r>
        <w:rPr>
          <w:rFonts w:hint="eastAsia" w:ascii="宋体" w:hAnsi="Times New Roman" w:eastAsia="宋体" w:cs="Times New Roman"/>
          <w:snapToGrid/>
          <w:spacing w:val="-8"/>
          <w:sz w:val="24"/>
          <w:szCs w:val="24"/>
          <w:lang w:eastAsia="zh-CN"/>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rFonts w:ascii="宋体" w:hAnsi="Times New Roman" w:eastAsia="宋体" w:cs="Times New Roman"/>
          <w:snapToGrid/>
          <w:spacing w:val="-8"/>
          <w:sz w:val="24"/>
          <w:szCs w:val="24"/>
          <w:lang w:eastAsia="zh-CN"/>
        </w:rPr>
        <w:t>见索即付式的保函，视为未提交保函，其投标无效</w:t>
      </w:r>
      <w:r>
        <w:rPr>
          <w:rFonts w:hint="eastAsia" w:ascii="宋体" w:hAnsi="Times New Roman" w:eastAsia="宋体" w:cs="Times New Roman"/>
          <w:snapToGrid/>
          <w:spacing w:val="-8"/>
          <w:sz w:val="24"/>
          <w:szCs w:val="24"/>
          <w:lang w:eastAsia="zh-CN"/>
        </w:rPr>
        <w:t>。</w:t>
      </w:r>
    </w:p>
    <w:p w14:paraId="4DCA02EA">
      <w:pPr>
        <w:widowControl w:val="0"/>
        <w:kinsoku/>
        <w:autoSpaceDE/>
        <w:autoSpaceDN/>
        <w:adjustRightInd/>
        <w:snapToGrid/>
        <w:ind w:right="96"/>
        <w:jc w:val="both"/>
        <w:textAlignment w:val="auto"/>
        <w:rPr>
          <w:rFonts w:ascii="宋体" w:hAnsi="Times New Roman" w:eastAsia="宋体" w:cs="Times New Roman"/>
          <w:snapToGrid/>
          <w:spacing w:val="-8"/>
          <w:sz w:val="24"/>
          <w:szCs w:val="24"/>
          <w:lang w:eastAsia="zh-CN"/>
        </w:rPr>
      </w:pPr>
    </w:p>
    <w:p w14:paraId="59DEB1BC">
      <w:pPr>
        <w:widowControl w:val="0"/>
        <w:kinsoku/>
        <w:autoSpaceDE/>
        <w:autoSpaceDN/>
        <w:adjustRightInd/>
        <w:snapToGrid/>
        <w:ind w:right="96"/>
        <w:jc w:val="both"/>
        <w:textAlignment w:val="auto"/>
        <w:rPr>
          <w:rFonts w:ascii="Times New Roman" w:hAnsi="Times New Roman" w:eastAsia="宋体" w:cs="Times New Roman"/>
          <w:snapToGrid/>
          <w:sz w:val="24"/>
          <w:szCs w:val="20"/>
          <w:lang w:eastAsia="zh-CN"/>
        </w:rPr>
      </w:pPr>
    </w:p>
    <w:p w14:paraId="4F555442">
      <w:pPr>
        <w:widowControl w:val="0"/>
        <w:kinsoku/>
        <w:autoSpaceDE/>
        <w:autoSpaceDN/>
        <w:adjustRightInd/>
        <w:snapToGrid/>
        <w:spacing w:line="500" w:lineRule="exact"/>
        <w:ind w:right="1"/>
        <w:jc w:val="center"/>
        <w:rPr>
          <w:rFonts w:ascii="黑体" w:hAnsi="Times New Roman" w:eastAsia="黑体" w:cs="Times New Roman"/>
          <w:snapToGrid/>
          <w:sz w:val="24"/>
          <w:szCs w:val="24"/>
          <w:lang w:eastAsia="zh-CN"/>
        </w:rPr>
      </w:pPr>
    </w:p>
    <w:p w14:paraId="178E5573">
      <w:pPr>
        <w:rPr>
          <w:rFonts w:ascii="黑体" w:hAnsi="Times New Roman" w:eastAsia="黑体" w:cs="Times New Roman"/>
          <w:snapToGrid/>
          <w:sz w:val="24"/>
          <w:szCs w:val="24"/>
          <w:lang w:eastAsia="zh-CN"/>
        </w:rPr>
      </w:pPr>
      <w:r>
        <w:rPr>
          <w:rFonts w:ascii="黑体" w:hAnsi="Times New Roman" w:eastAsia="黑体" w:cs="Times New Roman"/>
          <w:snapToGrid/>
          <w:sz w:val="24"/>
          <w:szCs w:val="24"/>
          <w:lang w:eastAsia="zh-CN"/>
        </w:rPr>
        <w:br w:type="page"/>
      </w:r>
    </w:p>
    <w:p w14:paraId="4A70DEB7">
      <w:pPr>
        <w:widowControl w:val="0"/>
        <w:kinsoku/>
        <w:autoSpaceDE/>
        <w:autoSpaceDN/>
        <w:adjustRightInd/>
        <w:snapToGrid/>
        <w:spacing w:line="500" w:lineRule="exact"/>
        <w:ind w:right="1"/>
        <w:jc w:val="center"/>
        <w:rPr>
          <w:rFonts w:ascii="黑体" w:hAnsi="Times New Roman" w:eastAsia="黑体" w:cs="Times New Roman"/>
          <w:snapToGrid/>
          <w:sz w:val="24"/>
          <w:szCs w:val="24"/>
          <w:lang w:eastAsia="zh-CN"/>
        </w:rPr>
      </w:pPr>
      <w:r>
        <w:rPr>
          <w:rFonts w:hint="eastAsia" w:ascii="黑体" w:hAnsi="Times New Roman" w:eastAsia="黑体" w:cs="Times New Roman"/>
          <w:snapToGrid/>
          <w:sz w:val="24"/>
          <w:szCs w:val="24"/>
          <w:lang w:eastAsia="zh-CN"/>
        </w:rPr>
        <w:t>担保（纸质）保函格式</w:t>
      </w:r>
    </w:p>
    <w:p w14:paraId="671CE653">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投标人（即“申请人”）：</w:t>
      </w:r>
    </w:p>
    <w:p w14:paraId="5ABCE1CE">
      <w:pPr>
        <w:widowControl w:val="0"/>
        <w:tabs>
          <w:tab w:val="left" w:pos="35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1B2F8C02">
      <w:pPr>
        <w:widowControl w:val="0"/>
        <w:tabs>
          <w:tab w:val="left" w:pos="3541"/>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招标人（即“受益人”）：</w:t>
      </w:r>
    </w:p>
    <w:p w14:paraId="0A1AD8FC">
      <w:pPr>
        <w:widowControl w:val="0"/>
        <w:tabs>
          <w:tab w:val="left" w:pos="3657"/>
        </w:tabs>
        <w:kinsoku/>
        <w:autoSpaceDE/>
        <w:autoSpaceDN/>
        <w:adjustRightInd/>
        <w:snapToGrid/>
        <w:spacing w:line="440" w:lineRule="exact"/>
        <w:ind w:firstLine="476" w:firstLineChars="200"/>
        <w:jc w:val="both"/>
        <w:rPr>
          <w:rFonts w:ascii="Times New Roman" w:hAnsi="Times New Roman" w:eastAsia="Times New Roman" w:cs="Times New Roman"/>
          <w:snapToGrid/>
          <w:sz w:val="24"/>
          <w:szCs w:val="24"/>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4302EE20">
      <w:pPr>
        <w:widowControl w:val="0"/>
        <w:tabs>
          <w:tab w:val="left" w:pos="4137"/>
          <w:tab w:val="left" w:pos="486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开</w:t>
      </w:r>
      <w:r>
        <w:rPr>
          <w:rFonts w:ascii="宋体" w:hAnsi="Times New Roman" w:eastAsia="宋体" w:cs="Times New Roman"/>
          <w:snapToGrid/>
          <w:sz w:val="24"/>
          <w:szCs w:val="24"/>
          <w:lang w:eastAsia="zh-CN"/>
        </w:rPr>
        <w:t>立人（出函</w:t>
      </w:r>
      <w:r>
        <w:rPr>
          <w:rFonts w:hint="eastAsia" w:ascii="宋体" w:hAnsi="Times New Roman" w:eastAsia="宋体" w:cs="Times New Roman"/>
          <w:snapToGrid/>
          <w:sz w:val="24"/>
          <w:szCs w:val="24"/>
          <w:lang w:eastAsia="zh-CN"/>
        </w:rPr>
        <w:t>担保机构</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r>
        <w:rPr>
          <w:rFonts w:ascii="Times New Roman" w:hAnsi="Times New Roman" w:eastAsia="Times New Roman" w:cs="Times New Roman"/>
          <w:snapToGrid/>
          <w:sz w:val="24"/>
          <w:szCs w:val="24"/>
          <w:u w:val="single" w:color="000000"/>
          <w:lang w:eastAsia="zh-CN"/>
        </w:rPr>
        <w:tab/>
      </w:r>
    </w:p>
    <w:p w14:paraId="62760C67">
      <w:pPr>
        <w:widowControl w:val="0"/>
        <w:tabs>
          <w:tab w:val="left" w:pos="4137"/>
          <w:tab w:val="left" w:pos="5339"/>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65C6AFE5">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致：</w:t>
      </w:r>
      <w:r>
        <w:rPr>
          <w:rFonts w:ascii="宋体" w:hAnsi="Times New Roman" w:eastAsia="宋体" w:cs="Times New Roman"/>
          <w:snapToGrid/>
          <w:sz w:val="24"/>
          <w:szCs w:val="24"/>
          <w:u w:val="single"/>
          <w:lang w:eastAsia="zh-CN"/>
        </w:rPr>
        <w:t>（招标人名称）</w:t>
      </w:r>
    </w:p>
    <w:p w14:paraId="1256D44A">
      <w:pPr>
        <w:widowControl w:val="0"/>
        <w:kinsoku/>
        <w:autoSpaceDE/>
        <w:autoSpaceDN/>
        <w:adjustRightInd/>
        <w:snapToGrid/>
        <w:spacing w:line="440" w:lineRule="exact"/>
        <w:ind w:firstLine="480" w:firstLineChars="200"/>
        <w:jc w:val="both"/>
        <w:textAlignment w:val="auto"/>
        <w:rPr>
          <w:rFonts w:hint="eastAsia" w:ascii="宋体" w:hAnsi="宋体" w:eastAsia="宋体" w:cs="Times New Roman"/>
          <w:snapToGrid/>
          <w:sz w:val="24"/>
          <w:szCs w:val="20"/>
          <w:lang w:eastAsia="zh-CN"/>
        </w:rPr>
      </w:pPr>
      <w:r>
        <w:rPr>
          <w:rFonts w:hint="eastAsia" w:ascii="宋体" w:hAnsi="宋体" w:eastAsia="宋体" w:cs="Times New Roman"/>
          <w:snapToGrid/>
          <w:sz w:val="24"/>
          <w:szCs w:val="20"/>
          <w:lang w:eastAsia="zh-CN"/>
        </w:rPr>
        <w:t>我方（即“开立人”）已获得通知，本保函申请人（即“投标人”）已响应贵方于年月日就（以下简称“本项目”）发出的招标文件，并已向招标人（即“受益人”）提交了投标文件（即“基础交易”）。</w:t>
      </w:r>
    </w:p>
    <w:p w14:paraId="281AC42C">
      <w:pPr>
        <w:widowControl w:val="0"/>
        <w:tabs>
          <w:tab w:val="left" w:pos="1918"/>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一</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我方理解根据招标条件</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投标人必须提交一份投标保</w:t>
      </w:r>
      <w:r>
        <w:rPr>
          <w:rFonts w:ascii="宋体" w:hAnsi="Times New Roman" w:eastAsia="宋体" w:cs="Times New Roman"/>
          <w:snapToGrid/>
          <w:spacing w:val="-48"/>
          <w:sz w:val="24"/>
          <w:szCs w:val="24"/>
          <w:lang w:eastAsia="zh-CN"/>
        </w:rPr>
        <w:t>函</w:t>
      </w:r>
      <w:r>
        <w:rPr>
          <w:rFonts w:hint="eastAsia" w:ascii="宋体" w:hAnsi="Times New Roman" w:eastAsia="宋体" w:cs="Times New Roman"/>
          <w:b/>
          <w:snapToGrid/>
          <w:spacing w:val="-48"/>
          <w:sz w:val="24"/>
          <w:szCs w:val="24"/>
          <w:lang w:eastAsia="zh-CN"/>
        </w:rPr>
        <w:t>（</w:t>
      </w:r>
      <w:r>
        <w:rPr>
          <w:rFonts w:hint="eastAsia" w:ascii="宋体" w:hAnsi="Times New Roman" w:eastAsia="宋体" w:cs="Times New Roman"/>
          <w:b/>
          <w:snapToGrid/>
          <w:sz w:val="24"/>
          <w:szCs w:val="24"/>
          <w:lang w:eastAsia="zh-CN"/>
        </w:rPr>
        <w:t>以下简称</w:t>
      </w:r>
      <w:r>
        <w:rPr>
          <w:rFonts w:ascii="宋体" w:hAnsi="Times New Roman" w:eastAsia="宋体" w:cs="Times New Roman"/>
          <w:b/>
          <w:snapToGrid/>
          <w:sz w:val="24"/>
          <w:szCs w:val="24"/>
          <w:lang w:eastAsia="zh-CN"/>
        </w:rPr>
        <w:t>“</w:t>
      </w:r>
      <w:r>
        <w:rPr>
          <w:rFonts w:hint="eastAsia" w:ascii="宋体" w:hAnsi="Times New Roman" w:eastAsia="宋体" w:cs="Times New Roman"/>
          <w:b/>
          <w:snapToGrid/>
          <w:sz w:val="24"/>
          <w:szCs w:val="24"/>
          <w:lang w:eastAsia="zh-CN"/>
        </w:rPr>
        <w:t>本保函</w:t>
      </w:r>
      <w:r>
        <w:rPr>
          <w:rFonts w:ascii="宋体" w:hAnsi="Times New Roman" w:eastAsia="宋体" w:cs="Times New Roman"/>
          <w:b/>
          <w:snapToGrid/>
          <w:sz w:val="24"/>
          <w:szCs w:val="24"/>
          <w:lang w:eastAsia="zh-CN"/>
        </w:rPr>
        <w:t>”）</w:t>
      </w:r>
      <w:r>
        <w:rPr>
          <w:rFonts w:hint="eastAsia" w:ascii="宋体" w:hAnsi="Times New Roman" w:eastAsia="宋体" w:cs="Times New Roman"/>
          <w:snapToGrid/>
          <w:spacing w:val="-54"/>
          <w:sz w:val="24"/>
          <w:szCs w:val="24"/>
          <w:lang w:eastAsia="zh-CN"/>
        </w:rPr>
        <w:t>，</w:t>
      </w:r>
      <w:r>
        <w:rPr>
          <w:rFonts w:ascii="宋体" w:hAnsi="Times New Roman" w:eastAsia="宋体" w:cs="Times New Roman"/>
          <w:snapToGrid/>
          <w:sz w:val="24"/>
          <w:szCs w:val="24"/>
          <w:lang w:eastAsia="zh-CN"/>
        </w:rPr>
        <w:t>以担保投标人诚信履行其在</w:t>
      </w:r>
      <w:r>
        <w:rPr>
          <w:rFonts w:ascii="宋体" w:hAnsi="Times New Roman" w:eastAsia="宋体" w:cs="Times New Roman"/>
          <w:b/>
          <w:snapToGrid/>
          <w:sz w:val="24"/>
          <w:szCs w:val="24"/>
          <w:lang w:eastAsia="zh-CN"/>
        </w:rPr>
        <w:t>上述基础交易</w:t>
      </w:r>
      <w:r>
        <w:rPr>
          <w:rFonts w:ascii="宋体" w:hAnsi="Times New Roman" w:eastAsia="宋体" w:cs="Times New Roman"/>
          <w:snapToGrid/>
          <w:sz w:val="24"/>
          <w:szCs w:val="24"/>
          <w:lang w:eastAsia="zh-CN"/>
        </w:rPr>
        <w:t>中承担的投标人义务。鉴此，应投标人要求，</w:t>
      </w:r>
      <w:r>
        <w:rPr>
          <w:rFonts w:ascii="宋体" w:hAnsi="Times New Roman" w:eastAsia="宋体" w:cs="Times New Roman"/>
          <w:snapToGrid/>
          <w:spacing w:val="12"/>
          <w:sz w:val="24"/>
          <w:szCs w:val="24"/>
          <w:lang w:eastAsia="zh-CN"/>
        </w:rPr>
        <w:t>我方在此</w:t>
      </w:r>
      <w:r>
        <w:rPr>
          <w:rFonts w:ascii="宋体" w:hAnsi="Times New Roman" w:eastAsia="宋体" w:cs="Times New Roman"/>
          <w:snapToGrid/>
          <w:spacing w:val="14"/>
          <w:sz w:val="24"/>
          <w:szCs w:val="24"/>
          <w:lang w:eastAsia="zh-CN"/>
        </w:rPr>
        <w:t>同</w:t>
      </w:r>
      <w:r>
        <w:rPr>
          <w:rFonts w:ascii="宋体" w:hAnsi="Times New Roman" w:eastAsia="宋体" w:cs="Times New Roman"/>
          <w:snapToGrid/>
          <w:spacing w:val="12"/>
          <w:sz w:val="24"/>
          <w:szCs w:val="24"/>
          <w:lang w:eastAsia="zh-CN"/>
        </w:rPr>
        <w:t>意向贵方出具此</w:t>
      </w:r>
      <w:r>
        <w:rPr>
          <w:rFonts w:ascii="宋体" w:hAnsi="Times New Roman" w:eastAsia="宋体" w:cs="Times New Roman"/>
          <w:snapToGrid/>
          <w:spacing w:val="14"/>
          <w:sz w:val="24"/>
          <w:szCs w:val="24"/>
          <w:lang w:eastAsia="zh-CN"/>
        </w:rPr>
        <w:t>投</w:t>
      </w:r>
      <w:r>
        <w:rPr>
          <w:rFonts w:ascii="宋体" w:hAnsi="Times New Roman" w:eastAsia="宋体" w:cs="Times New Roman"/>
          <w:snapToGrid/>
          <w:spacing w:val="12"/>
          <w:sz w:val="24"/>
          <w:szCs w:val="24"/>
          <w:lang w:eastAsia="zh-CN"/>
        </w:rPr>
        <w:t>标保函，本保函担</w:t>
      </w:r>
      <w:r>
        <w:rPr>
          <w:rFonts w:ascii="宋体" w:hAnsi="Times New Roman" w:eastAsia="宋体" w:cs="Times New Roman"/>
          <w:snapToGrid/>
          <w:spacing w:val="14"/>
          <w:sz w:val="24"/>
          <w:szCs w:val="24"/>
          <w:lang w:eastAsia="zh-CN"/>
        </w:rPr>
        <w:t>保</w:t>
      </w:r>
      <w:r>
        <w:rPr>
          <w:rFonts w:ascii="宋体" w:hAnsi="Times New Roman" w:eastAsia="宋体" w:cs="Times New Roman"/>
          <w:snapToGrid/>
          <w:spacing w:val="12"/>
          <w:sz w:val="24"/>
          <w:szCs w:val="24"/>
          <w:lang w:eastAsia="zh-CN"/>
        </w:rPr>
        <w:t>金额最高不超过人民币（</w:t>
      </w:r>
      <w:r>
        <w:rPr>
          <w:rFonts w:ascii="宋体" w:hAnsi="Times New Roman" w:eastAsia="宋体" w:cs="Times New Roman"/>
          <w:snapToGrid/>
          <w:spacing w:val="14"/>
          <w:sz w:val="24"/>
          <w:szCs w:val="24"/>
          <w:lang w:eastAsia="zh-CN"/>
        </w:rPr>
        <w:t>大</w:t>
      </w:r>
      <w:r>
        <w:rPr>
          <w:rFonts w:ascii="宋体" w:hAnsi="Times New Roman" w:eastAsia="宋体" w:cs="Times New Roman"/>
          <w:snapToGrid/>
          <w:spacing w:val="12"/>
          <w:sz w:val="24"/>
          <w:szCs w:val="24"/>
          <w:lang w:eastAsia="zh-CN"/>
        </w:rPr>
        <w:t>写</w:t>
      </w:r>
      <w:r>
        <w:rPr>
          <w:rFonts w:ascii="宋体" w:hAnsi="Times New Roman" w:eastAsia="宋体" w:cs="Times New Roman"/>
          <w:snapToGrid/>
          <w:sz w:val="24"/>
          <w:szCs w:val="24"/>
          <w:lang w:eastAsia="zh-CN"/>
        </w:rPr>
        <w:t>）元（¥</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w:t>
      </w:r>
    </w:p>
    <w:p w14:paraId="25E482AF">
      <w:pPr>
        <w:widowControl w:val="0"/>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二、</w:t>
      </w:r>
      <w:r>
        <w:rPr>
          <w:rFonts w:ascii="Times New Roman" w:hAnsi="Times New Roman" w:eastAsia="宋体" w:cs="Times New Roman"/>
          <w:snapToGrid/>
          <w:sz w:val="24"/>
          <w:szCs w:val="24"/>
          <w:lang w:eastAsia="zh-CN"/>
        </w:rPr>
        <w:t>我方在投标人发生以下情形时承担保证担保责任：</w:t>
      </w:r>
    </w:p>
    <w:p w14:paraId="4A763DFA">
      <w:pPr>
        <w:widowControl w:val="0"/>
        <w:tabs>
          <w:tab w:val="left" w:pos="1560"/>
        </w:tabs>
        <w:kinsoku/>
        <w:autoSpaceDE/>
        <w:autoSpaceDN/>
        <w:adjustRightInd/>
        <w:snapToGrid/>
        <w:spacing w:line="440" w:lineRule="exact"/>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（1）</w:t>
      </w:r>
      <w:r>
        <w:rPr>
          <w:rFonts w:ascii="宋体" w:hAnsi="Times New Roman" w:eastAsia="宋体" w:cs="Times New Roman"/>
          <w:snapToGrid/>
          <w:sz w:val="24"/>
          <w:szCs w:val="24"/>
          <w:lang w:eastAsia="zh-CN"/>
        </w:rPr>
        <w:t>投标人在开标后和投标有效期满之前撤销投标的；</w:t>
      </w:r>
    </w:p>
    <w:p w14:paraId="353487D2">
      <w:pPr>
        <w:widowControl w:val="0"/>
        <w:kinsoku/>
        <w:autoSpaceDE/>
        <w:autoSpaceDN/>
        <w:adjustRightInd/>
        <w:snapToGrid/>
        <w:spacing w:line="440" w:lineRule="exact"/>
        <w:ind w:right="105"/>
        <w:jc w:val="both"/>
        <w:rPr>
          <w:rFonts w:hint="eastAsia" w:ascii="宋体" w:hAnsi="宋体" w:eastAsia="宋体" w:cs="Times New Roman"/>
          <w:snapToGrid/>
          <w:sz w:val="24"/>
          <w:szCs w:val="24"/>
          <w:lang w:eastAsia="zh-CN"/>
        </w:rPr>
      </w:pPr>
      <w:r>
        <w:rPr>
          <w:rFonts w:hint="eastAsia" w:ascii="宋体" w:hAnsi="Times New Roman" w:eastAsia="宋体" w:cs="Times New Roman"/>
          <w:snapToGrid/>
          <w:sz w:val="24"/>
          <w:szCs w:val="24"/>
          <w:lang w:eastAsia="zh-CN"/>
        </w:rPr>
        <w:t>（2）</w:t>
      </w:r>
      <w:r>
        <w:rPr>
          <w:rFonts w:hint="eastAsia" w:ascii="宋体" w:hAnsi="宋体" w:eastAsia="宋体" w:cs="Times New Roman"/>
          <w:snapToGrid/>
          <w:sz w:val="24"/>
          <w:szCs w:val="24"/>
          <w:lang w:eastAsia="zh-CN"/>
        </w:rPr>
        <w:t>投标人在中标后无正当理由不与招标人订立合同或者签订合同时向招标人提出附加条件的；</w:t>
      </w:r>
    </w:p>
    <w:p w14:paraId="3B4B61A0">
      <w:pPr>
        <w:widowControl w:val="0"/>
        <w:kinsoku/>
        <w:autoSpaceDE/>
        <w:autoSpaceDN/>
        <w:adjustRightInd/>
        <w:snapToGrid/>
        <w:spacing w:line="440" w:lineRule="exact"/>
        <w:ind w:right="105"/>
        <w:jc w:val="both"/>
        <w:rPr>
          <w:rFonts w:hint="eastAsia" w:ascii="宋体" w:hAnsi="宋体" w:eastAsia="宋体" w:cs="Times New Roman"/>
          <w:snapToGrid/>
          <w:sz w:val="24"/>
          <w:szCs w:val="24"/>
          <w:lang w:eastAsia="zh-CN"/>
        </w:rPr>
      </w:pPr>
      <w:r>
        <w:rPr>
          <w:rFonts w:hint="eastAsia" w:ascii="宋体" w:hAnsi="宋体" w:eastAsia="宋体" w:cs="Times New Roman"/>
          <w:snapToGrid/>
          <w:sz w:val="24"/>
          <w:szCs w:val="24"/>
          <w:lang w:eastAsia="zh-CN"/>
        </w:rPr>
        <w:t>（3）投标人在中标后不按照招标文件要求提交履约保证金或履约担保的；</w:t>
      </w:r>
    </w:p>
    <w:p w14:paraId="55ED04E6">
      <w:pPr>
        <w:widowControl w:val="0"/>
        <w:tabs>
          <w:tab w:val="left" w:pos="1560"/>
        </w:tabs>
        <w:kinsoku/>
        <w:autoSpaceDE/>
        <w:autoSpaceDN/>
        <w:adjustRightInd/>
        <w:snapToGrid/>
        <w:spacing w:line="440" w:lineRule="exact"/>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（4）</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违反招标文件规定，依照招标文件的约定属于投标保证金不予退还</w:t>
      </w:r>
      <w:r>
        <w:rPr>
          <w:rFonts w:ascii="宋体" w:hAnsi="Times New Roman" w:eastAsia="宋体" w:cs="Times New Roman"/>
          <w:snapToGrid/>
          <w:sz w:val="24"/>
          <w:szCs w:val="24"/>
          <w:lang w:eastAsia="zh-CN"/>
        </w:rPr>
        <w:t>的</w:t>
      </w:r>
      <w:r>
        <w:rPr>
          <w:rFonts w:hint="eastAsia" w:ascii="宋体" w:hAnsi="Times New Roman" w:eastAsia="宋体" w:cs="Times New Roman"/>
          <w:snapToGrid/>
          <w:sz w:val="24"/>
          <w:szCs w:val="24"/>
          <w:lang w:eastAsia="zh-CN"/>
        </w:rPr>
        <w:t>；</w:t>
      </w:r>
    </w:p>
    <w:p w14:paraId="00E1DA3A">
      <w:pPr>
        <w:widowControl w:val="0"/>
        <w:tabs>
          <w:tab w:val="left" w:pos="1560"/>
        </w:tabs>
        <w:kinsoku/>
        <w:autoSpaceDE/>
        <w:autoSpaceDN/>
        <w:adjustRightInd/>
        <w:snapToGrid/>
        <w:spacing w:line="440" w:lineRule="exact"/>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（5）</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违反投标承诺，依照招标文件的约定和投标文件承诺，属于投标保证金不予退还的；</w:t>
      </w:r>
    </w:p>
    <w:p w14:paraId="737DA168">
      <w:pPr>
        <w:widowControl w:val="0"/>
        <w:tabs>
          <w:tab w:val="left" w:pos="1560"/>
        </w:tabs>
        <w:kinsoku/>
        <w:autoSpaceDE/>
        <w:autoSpaceDN/>
        <w:adjustRightInd/>
        <w:snapToGrid/>
        <w:spacing w:line="440" w:lineRule="exact"/>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（6）</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违反招标文件约定的其他情形。</w:t>
      </w:r>
    </w:p>
    <w:p w14:paraId="35A617C8">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三、本保函为不可撤销、不可转让的见索即付独立保函。本保函有效期自开立之日</w:t>
      </w:r>
      <w:r>
        <w:rPr>
          <w:rFonts w:ascii="宋体" w:hAnsi="Times New Roman" w:eastAsia="宋体" w:cs="Times New Roman"/>
          <w:snapToGrid/>
          <w:sz w:val="24"/>
          <w:szCs w:val="24"/>
          <w:lang w:eastAsia="zh-CN"/>
        </w:rPr>
        <w:t>起至投标有效期届满之日后的</w:t>
      </w:r>
      <w:r>
        <w:rPr>
          <w:rFonts w:ascii="宋体" w:hAnsi="Times New Roman" w:eastAsia="宋体" w:cs="Times New Roman"/>
          <w:snapToGrid/>
          <w:spacing w:val="-8"/>
          <w:sz w:val="24"/>
          <w:szCs w:val="24"/>
          <w:lang w:eastAsia="zh-CN"/>
        </w:rPr>
        <w:t>日。投标有效期延长的，本保函有效期相应顺延，最</w:t>
      </w:r>
      <w:r>
        <w:rPr>
          <w:rFonts w:ascii="宋体" w:hAnsi="Times New Roman" w:eastAsia="宋体" w:cs="Times New Roman"/>
          <w:snapToGrid/>
          <w:sz w:val="24"/>
          <w:szCs w:val="24"/>
          <w:lang w:eastAsia="zh-CN"/>
        </w:rPr>
        <w:t>迟不超过年月日。</w:t>
      </w:r>
    </w:p>
    <w:p w14:paraId="3FEB228E">
      <w:pPr>
        <w:widowControl w:val="0"/>
        <w:tabs>
          <w:tab w:val="left" w:pos="7164"/>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四</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我方承诺</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在收到招标人发来的书面付款通知后的</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日内无条件支付</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前</w:t>
      </w:r>
      <w:r>
        <w:rPr>
          <w:rFonts w:ascii="宋体" w:hAnsi="Times New Roman" w:eastAsia="宋体" w:cs="Times New Roman"/>
          <w:snapToGrid/>
          <w:spacing w:val="-18"/>
          <w:sz w:val="24"/>
          <w:szCs w:val="24"/>
          <w:lang w:eastAsia="zh-CN"/>
        </w:rPr>
        <w:t>述</w:t>
      </w:r>
      <w:r>
        <w:rPr>
          <w:rFonts w:ascii="宋体" w:hAnsi="Times New Roman" w:eastAsia="宋体" w:cs="Times New Roman"/>
          <w:snapToGrid/>
          <w:sz w:val="24"/>
          <w:szCs w:val="24"/>
          <w:lang w:eastAsia="zh-CN"/>
        </w:rPr>
        <w:t>书面付款通知即为付款要求之单据，且应满足以下要求：</w:t>
      </w:r>
    </w:p>
    <w:p w14:paraId="3A9985B1">
      <w:pPr>
        <w:widowControl w:val="0"/>
        <w:tabs>
          <w:tab w:val="left" w:pos="1560"/>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w:t>
      </w:r>
      <w:r>
        <w:rPr>
          <w:rFonts w:ascii="Times New Roman" w:hAnsi="Times New Roman" w:eastAsia="宋体" w:cs="Times New Roman"/>
          <w:snapToGrid/>
          <w:sz w:val="24"/>
          <w:szCs w:val="24"/>
          <w:lang w:eastAsia="zh-CN"/>
        </w:rPr>
        <w:t>付款通知到达的日期在本保函的有效期内；</w:t>
      </w:r>
    </w:p>
    <w:p w14:paraId="2EAAA48E">
      <w:pPr>
        <w:widowControl w:val="0"/>
        <w:tabs>
          <w:tab w:val="left" w:pos="1560"/>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w:t>
      </w:r>
      <w:r>
        <w:rPr>
          <w:rFonts w:ascii="Times New Roman" w:hAnsi="Times New Roman" w:eastAsia="宋体" w:cs="Times New Roman"/>
          <w:snapToGrid/>
          <w:sz w:val="24"/>
          <w:szCs w:val="24"/>
          <w:lang w:eastAsia="zh-CN"/>
        </w:rPr>
        <w:t>载明要求支付的金额；</w:t>
      </w:r>
    </w:p>
    <w:p w14:paraId="6377997A">
      <w:pPr>
        <w:widowControl w:val="0"/>
        <w:tabs>
          <w:tab w:val="left" w:pos="1560"/>
        </w:tabs>
        <w:kinsoku/>
        <w:autoSpaceDE/>
        <w:autoSpaceDN/>
        <w:adjustRightInd/>
        <w:snapToGrid/>
        <w:spacing w:line="440" w:lineRule="exact"/>
        <w:ind w:firstLine="480" w:firstLineChars="200"/>
        <w:jc w:val="both"/>
        <w:rPr>
          <w:rFonts w:ascii="Times New Roman" w:hAnsi="Times New Roman" w:eastAsia="宋体" w:cs="Times New Roman"/>
          <w:b/>
          <w:snapToGrid/>
          <w:sz w:val="24"/>
          <w:szCs w:val="24"/>
          <w:lang w:eastAsia="zh-CN"/>
        </w:rPr>
      </w:pPr>
      <w:r>
        <w:rPr>
          <w:rFonts w:hint="eastAsia" w:ascii="Times New Roman" w:hAnsi="Times New Roman" w:eastAsia="宋体" w:cs="Times New Roman"/>
          <w:snapToGrid/>
          <w:sz w:val="24"/>
          <w:szCs w:val="24"/>
          <w:lang w:eastAsia="zh-CN"/>
        </w:rPr>
        <w:t>（3）</w:t>
      </w:r>
      <w:r>
        <w:rPr>
          <w:rFonts w:ascii="Times New Roman" w:hAnsi="Times New Roman" w:eastAsia="宋体" w:cs="Times New Roman"/>
          <w:b/>
          <w:snapToGrid/>
          <w:sz w:val="24"/>
          <w:szCs w:val="24"/>
          <w:lang w:eastAsia="zh-CN"/>
        </w:rPr>
        <w:t>载明申请人</w:t>
      </w:r>
      <w:r>
        <w:rPr>
          <w:rFonts w:hint="eastAsia" w:ascii="Times New Roman" w:hAnsi="Times New Roman" w:eastAsia="宋体" w:cs="Times New Roman"/>
          <w:b/>
          <w:snapToGrid/>
          <w:sz w:val="24"/>
          <w:szCs w:val="24"/>
          <w:lang w:eastAsia="zh-CN"/>
        </w:rPr>
        <w:t>（即投标人）</w:t>
      </w:r>
      <w:r>
        <w:rPr>
          <w:rFonts w:ascii="Times New Roman" w:hAnsi="Times New Roman" w:eastAsia="宋体" w:cs="Times New Roman"/>
          <w:b/>
          <w:snapToGrid/>
          <w:sz w:val="24"/>
          <w:szCs w:val="24"/>
          <w:lang w:eastAsia="zh-CN"/>
        </w:rPr>
        <w:t>违反</w:t>
      </w:r>
      <w:r>
        <w:rPr>
          <w:rFonts w:hint="eastAsia" w:ascii="Times New Roman" w:hAnsi="Times New Roman" w:eastAsia="宋体" w:cs="Times New Roman"/>
          <w:b/>
          <w:snapToGrid/>
          <w:sz w:val="24"/>
          <w:szCs w:val="24"/>
          <w:lang w:eastAsia="zh-CN"/>
        </w:rPr>
        <w:t>法律法规或者</w:t>
      </w:r>
      <w:r>
        <w:rPr>
          <w:rFonts w:ascii="Times New Roman" w:hAnsi="Times New Roman" w:eastAsia="宋体" w:cs="Times New Roman"/>
          <w:b/>
          <w:snapToGrid/>
          <w:sz w:val="24"/>
          <w:szCs w:val="24"/>
          <w:lang w:eastAsia="zh-CN"/>
        </w:rPr>
        <w:t>招标文件</w:t>
      </w:r>
      <w:r>
        <w:rPr>
          <w:rFonts w:hint="eastAsia" w:ascii="Times New Roman" w:hAnsi="Times New Roman" w:eastAsia="宋体" w:cs="Times New Roman"/>
          <w:b/>
          <w:snapToGrid/>
          <w:sz w:val="24"/>
          <w:szCs w:val="24"/>
          <w:lang w:eastAsia="zh-CN"/>
        </w:rPr>
        <w:t>约</w:t>
      </w:r>
      <w:r>
        <w:rPr>
          <w:rFonts w:ascii="Times New Roman" w:hAnsi="Times New Roman" w:eastAsia="宋体" w:cs="Times New Roman"/>
          <w:b/>
          <w:snapToGrid/>
          <w:sz w:val="24"/>
          <w:szCs w:val="24"/>
          <w:lang w:eastAsia="zh-CN"/>
        </w:rPr>
        <w:t>定</w:t>
      </w:r>
      <w:r>
        <w:rPr>
          <w:rFonts w:hint="eastAsia" w:ascii="Times New Roman" w:hAnsi="Times New Roman" w:eastAsia="宋体" w:cs="Times New Roman"/>
          <w:b/>
          <w:snapToGrid/>
          <w:sz w:val="24"/>
          <w:szCs w:val="24"/>
          <w:lang w:eastAsia="zh-CN"/>
        </w:rPr>
        <w:t>或者投标文件承诺</w:t>
      </w:r>
      <w:r>
        <w:rPr>
          <w:rFonts w:ascii="Times New Roman" w:hAnsi="Times New Roman" w:eastAsia="宋体" w:cs="Times New Roman"/>
          <w:b/>
          <w:snapToGrid/>
          <w:sz w:val="24"/>
          <w:szCs w:val="24"/>
          <w:lang w:eastAsia="zh-CN"/>
        </w:rPr>
        <w:t>的义务内容和具体条款</w:t>
      </w:r>
      <w:r>
        <w:rPr>
          <w:rFonts w:hint="eastAsia" w:ascii="Times New Roman" w:hAnsi="Times New Roman" w:eastAsia="宋体" w:cs="Times New Roman"/>
          <w:b/>
          <w:snapToGrid/>
          <w:sz w:val="24"/>
          <w:szCs w:val="24"/>
          <w:lang w:eastAsia="zh-CN"/>
        </w:rPr>
        <w:t>；</w:t>
      </w:r>
    </w:p>
    <w:p w14:paraId="7E47B881">
      <w:pPr>
        <w:widowControl w:val="0"/>
        <w:tabs>
          <w:tab w:val="left" w:pos="1560"/>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书面付款通知应在本保函有效期内到达的地址是：</w:t>
      </w:r>
      <w:r>
        <w:rPr>
          <w:rFonts w:ascii="Times New Roman" w:hAnsi="Times New Roman" w:eastAsia="宋体" w:cs="Times New Roman"/>
          <w:snapToGrid/>
          <w:sz w:val="24"/>
          <w:szCs w:val="24"/>
          <w:u w:val="single" w:color="000000"/>
          <w:lang w:eastAsia="zh-CN"/>
        </w:rPr>
        <w:tab/>
      </w:r>
      <w:r>
        <w:rPr>
          <w:rFonts w:ascii="Times New Roman" w:hAnsi="Times New Roman" w:eastAsia="宋体" w:cs="Times New Roman"/>
          <w:snapToGrid/>
          <w:sz w:val="24"/>
          <w:szCs w:val="24"/>
          <w:lang w:eastAsia="zh-CN"/>
        </w:rPr>
        <w:t>。</w:t>
      </w:r>
    </w:p>
    <w:p w14:paraId="207E2F3E">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招标人发出的书面付款通知应由其为鉴明招标人法定代表人（负责人）或授权代理人签字并加盖公章。</w:t>
      </w:r>
    </w:p>
    <w:p w14:paraId="23E71319">
      <w:pPr>
        <w:widowControl w:val="0"/>
        <w:kinsoku/>
        <w:autoSpaceDE/>
        <w:autoSpaceDN/>
        <w:adjustRightInd/>
        <w:snapToGrid/>
        <w:spacing w:line="440" w:lineRule="exact"/>
        <w:ind w:firstLine="452"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7"/>
          <w:sz w:val="24"/>
          <w:szCs w:val="24"/>
          <w:lang w:eastAsia="zh-CN"/>
        </w:rPr>
        <w:t>五、本保函项下的权利不得转让，不得设定担保。贵方未经我方书面同意转让本保</w:t>
      </w:r>
      <w:r>
        <w:rPr>
          <w:rFonts w:ascii="宋体" w:hAnsi="Times New Roman" w:eastAsia="宋体" w:cs="Times New Roman"/>
          <w:snapToGrid/>
          <w:sz w:val="24"/>
          <w:szCs w:val="24"/>
          <w:lang w:eastAsia="zh-CN"/>
        </w:rPr>
        <w:t>函或其项下任何权利，对我方不发生法律效力。</w:t>
      </w:r>
    </w:p>
    <w:p w14:paraId="72D47B0C">
      <w:pPr>
        <w:widowControl w:val="0"/>
        <w:kinsoku/>
        <w:autoSpaceDE/>
        <w:autoSpaceDN/>
        <w:adjustRightInd/>
        <w:snapToGrid/>
        <w:spacing w:line="440" w:lineRule="exact"/>
        <w:ind w:firstLine="444"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9"/>
          <w:sz w:val="24"/>
          <w:szCs w:val="24"/>
          <w:lang w:eastAsia="zh-CN"/>
        </w:rPr>
        <w:t>六、本保函项下的</w:t>
      </w:r>
      <w:r>
        <w:rPr>
          <w:rFonts w:ascii="宋体" w:hAnsi="Times New Roman" w:eastAsia="宋体" w:cs="Times New Roman"/>
          <w:b/>
          <w:snapToGrid/>
          <w:spacing w:val="-9"/>
          <w:sz w:val="24"/>
          <w:szCs w:val="24"/>
          <w:lang w:eastAsia="zh-CN"/>
        </w:rPr>
        <w:t>基础交易</w:t>
      </w:r>
      <w:r>
        <w:rPr>
          <w:rFonts w:ascii="宋体" w:hAnsi="Times New Roman" w:eastAsia="宋体" w:cs="Times New Roman"/>
          <w:snapToGrid/>
          <w:spacing w:val="-9"/>
          <w:sz w:val="24"/>
          <w:szCs w:val="24"/>
          <w:lang w:eastAsia="zh-CN"/>
        </w:rPr>
        <w:t>不成立、不生效、无效、被撤销、被解除，不影响本保</w:t>
      </w:r>
      <w:r>
        <w:rPr>
          <w:rFonts w:ascii="宋体" w:hAnsi="Times New Roman" w:eastAsia="宋体" w:cs="Times New Roman"/>
          <w:snapToGrid/>
          <w:sz w:val="24"/>
          <w:szCs w:val="24"/>
          <w:lang w:eastAsia="zh-CN"/>
        </w:rPr>
        <w:t>函的独立有效</w:t>
      </w:r>
      <w:r>
        <w:rPr>
          <w:rFonts w:hint="eastAsia" w:ascii="宋体" w:hAnsi="Times New Roman" w:eastAsia="宋体" w:cs="Times New Roman"/>
          <w:snapToGrid/>
          <w:sz w:val="24"/>
          <w:szCs w:val="24"/>
          <w:lang w:eastAsia="zh-CN"/>
        </w:rPr>
        <w:t>，</w:t>
      </w:r>
      <w:r>
        <w:rPr>
          <w:rFonts w:ascii="宋体" w:hAnsi="Times New Roman" w:eastAsia="宋体" w:cs="Times New Roman"/>
          <w:snapToGrid/>
          <w:sz w:val="24"/>
          <w:szCs w:val="24"/>
          <w:lang w:eastAsia="zh-CN"/>
        </w:rPr>
        <w:t>不影响开立人</w:t>
      </w:r>
      <w:r>
        <w:rPr>
          <w:rFonts w:hint="eastAsia" w:ascii="宋体" w:hAnsi="Times New Roman" w:eastAsia="宋体" w:cs="Times New Roman"/>
          <w:snapToGrid/>
          <w:sz w:val="24"/>
          <w:szCs w:val="24"/>
          <w:lang w:eastAsia="zh-CN"/>
        </w:rPr>
        <w:t>履行</w:t>
      </w:r>
      <w:r>
        <w:rPr>
          <w:rFonts w:ascii="宋体" w:hAnsi="Times New Roman" w:eastAsia="宋体" w:cs="Times New Roman"/>
          <w:snapToGrid/>
          <w:sz w:val="24"/>
          <w:szCs w:val="24"/>
          <w:lang w:eastAsia="zh-CN"/>
        </w:rPr>
        <w:t>见索即付</w:t>
      </w:r>
      <w:r>
        <w:rPr>
          <w:rFonts w:hint="eastAsia" w:ascii="宋体" w:hAnsi="Times New Roman" w:eastAsia="宋体" w:cs="Times New Roman"/>
          <w:snapToGrid/>
          <w:sz w:val="24"/>
          <w:szCs w:val="24"/>
          <w:lang w:eastAsia="zh-CN"/>
        </w:rPr>
        <w:t>义务</w:t>
      </w:r>
      <w:r>
        <w:rPr>
          <w:rFonts w:ascii="宋体" w:hAnsi="Times New Roman" w:eastAsia="宋体" w:cs="Times New Roman"/>
          <w:snapToGrid/>
          <w:sz w:val="24"/>
          <w:szCs w:val="24"/>
          <w:lang w:eastAsia="zh-CN"/>
        </w:rPr>
        <w:t>的责任。</w:t>
      </w:r>
    </w:p>
    <w:p w14:paraId="5C817AD0">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七、招标人应在本保函到期后的七日内将本保函正本退回我方注销，但是不论招标</w:t>
      </w:r>
      <w:r>
        <w:rPr>
          <w:rFonts w:ascii="宋体" w:hAnsi="Times New Roman" w:eastAsia="宋体" w:cs="Times New Roman"/>
          <w:snapToGrid/>
          <w:spacing w:val="-4"/>
          <w:sz w:val="24"/>
          <w:szCs w:val="24"/>
          <w:lang w:eastAsia="zh-CN"/>
        </w:rPr>
        <w:t>人是否按此要求将本保函正本退回我方，我方在本保函项下的义务和责任均在保函有效</w:t>
      </w:r>
      <w:r>
        <w:rPr>
          <w:rFonts w:ascii="宋体" w:hAnsi="Times New Roman" w:eastAsia="宋体" w:cs="Times New Roman"/>
          <w:snapToGrid/>
          <w:sz w:val="24"/>
          <w:szCs w:val="24"/>
          <w:lang w:eastAsia="zh-CN"/>
        </w:rPr>
        <w:t>期到期后自动消灭</w:t>
      </w:r>
      <w:r>
        <w:rPr>
          <w:rFonts w:hint="eastAsia" w:ascii="宋体" w:hAnsi="Times New Roman" w:eastAsia="宋体" w:cs="Times New Roman"/>
          <w:snapToGrid/>
          <w:sz w:val="24"/>
          <w:szCs w:val="24"/>
          <w:lang w:eastAsia="zh-CN"/>
        </w:rPr>
        <w:t>，</w:t>
      </w:r>
      <w:r>
        <w:rPr>
          <w:rFonts w:ascii="宋体" w:hAnsi="Times New Roman" w:eastAsia="宋体" w:cs="Times New Roman"/>
          <w:snapToGrid/>
          <w:sz w:val="24"/>
          <w:szCs w:val="24"/>
          <w:lang w:eastAsia="zh-CN"/>
        </w:rPr>
        <w:t>但</w:t>
      </w:r>
      <w:r>
        <w:rPr>
          <w:rFonts w:hint="eastAsia" w:ascii="宋体" w:hAnsi="Times New Roman" w:eastAsia="宋体" w:cs="Times New Roman"/>
          <w:snapToGrid/>
          <w:sz w:val="24"/>
          <w:szCs w:val="24"/>
          <w:lang w:eastAsia="zh-CN"/>
        </w:rPr>
        <w:t>因</w:t>
      </w:r>
      <w:r>
        <w:rPr>
          <w:rFonts w:ascii="宋体" w:hAnsi="Times New Roman" w:eastAsia="宋体" w:cs="Times New Roman"/>
          <w:snapToGrid/>
          <w:sz w:val="24"/>
          <w:szCs w:val="24"/>
          <w:lang w:eastAsia="zh-CN"/>
        </w:rPr>
        <w:t>异议、投诉、立案处理的，本保函有效期将顺延到案件处理完毕之日后再顺延七日。</w:t>
      </w:r>
    </w:p>
    <w:p w14:paraId="6E51565A">
      <w:pPr>
        <w:widowControl w:val="0"/>
        <w:tabs>
          <w:tab w:val="left" w:pos="1318"/>
        </w:tabs>
        <w:kinsoku/>
        <w:autoSpaceDE/>
        <w:autoSpaceDN/>
        <w:adjustRightInd/>
        <w:snapToGrid/>
        <w:spacing w:line="440" w:lineRule="exact"/>
        <w:ind w:firstLine="496"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4"/>
          <w:sz w:val="24"/>
          <w:szCs w:val="24"/>
          <w:lang w:eastAsia="zh-CN"/>
        </w:rPr>
        <w:t>八、本</w:t>
      </w:r>
      <w:r>
        <w:rPr>
          <w:rFonts w:ascii="宋体" w:hAnsi="Times New Roman" w:eastAsia="宋体" w:cs="Times New Roman"/>
          <w:snapToGrid/>
          <w:spacing w:val="7"/>
          <w:sz w:val="24"/>
          <w:szCs w:val="24"/>
          <w:lang w:eastAsia="zh-CN"/>
        </w:rPr>
        <w:t>保</w:t>
      </w:r>
      <w:r>
        <w:rPr>
          <w:rFonts w:ascii="宋体" w:hAnsi="Times New Roman" w:eastAsia="宋体" w:cs="Times New Roman"/>
          <w:snapToGrid/>
          <w:spacing w:val="4"/>
          <w:sz w:val="24"/>
          <w:szCs w:val="24"/>
          <w:lang w:eastAsia="zh-CN"/>
        </w:rPr>
        <w:t>函适</w:t>
      </w:r>
      <w:r>
        <w:rPr>
          <w:rFonts w:ascii="宋体" w:hAnsi="Times New Roman" w:eastAsia="宋体" w:cs="Times New Roman"/>
          <w:snapToGrid/>
          <w:spacing w:val="7"/>
          <w:sz w:val="24"/>
          <w:szCs w:val="24"/>
          <w:lang w:eastAsia="zh-CN"/>
        </w:rPr>
        <w:t>用</w:t>
      </w:r>
      <w:r>
        <w:rPr>
          <w:rFonts w:ascii="宋体" w:hAnsi="Times New Roman" w:eastAsia="宋体" w:cs="Times New Roman"/>
          <w:snapToGrid/>
          <w:spacing w:val="4"/>
          <w:sz w:val="24"/>
          <w:szCs w:val="24"/>
          <w:lang w:eastAsia="zh-CN"/>
        </w:rPr>
        <w:t>的法</w:t>
      </w:r>
      <w:r>
        <w:rPr>
          <w:rFonts w:ascii="宋体" w:hAnsi="Times New Roman" w:eastAsia="宋体" w:cs="Times New Roman"/>
          <w:snapToGrid/>
          <w:spacing w:val="7"/>
          <w:sz w:val="24"/>
          <w:szCs w:val="24"/>
          <w:lang w:eastAsia="zh-CN"/>
        </w:rPr>
        <w:t>律</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pacing w:val="4"/>
          <w:sz w:val="24"/>
          <w:szCs w:val="24"/>
          <w:lang w:eastAsia="zh-CN"/>
        </w:rPr>
        <w:t>和国</w:t>
      </w:r>
      <w:r>
        <w:rPr>
          <w:rFonts w:ascii="宋体" w:hAnsi="Times New Roman" w:eastAsia="宋体" w:cs="Times New Roman"/>
          <w:snapToGrid/>
          <w:spacing w:val="7"/>
          <w:sz w:val="24"/>
          <w:szCs w:val="24"/>
          <w:lang w:eastAsia="zh-CN"/>
        </w:rPr>
        <w:t>法</w:t>
      </w:r>
      <w:r>
        <w:rPr>
          <w:rFonts w:ascii="宋体" w:hAnsi="Times New Roman" w:eastAsia="宋体" w:cs="Times New Roman"/>
          <w:snapToGrid/>
          <w:spacing w:val="4"/>
          <w:sz w:val="24"/>
          <w:szCs w:val="24"/>
          <w:lang w:eastAsia="zh-CN"/>
        </w:rPr>
        <w:t>律，</w:t>
      </w:r>
      <w:r>
        <w:rPr>
          <w:rFonts w:ascii="宋体" w:hAnsi="Times New Roman" w:eastAsia="宋体" w:cs="Times New Roman"/>
          <w:snapToGrid/>
          <w:spacing w:val="7"/>
          <w:sz w:val="24"/>
          <w:szCs w:val="24"/>
          <w:lang w:eastAsia="zh-CN"/>
        </w:rPr>
        <w:t>争</w:t>
      </w:r>
      <w:r>
        <w:rPr>
          <w:rFonts w:ascii="宋体" w:hAnsi="Times New Roman" w:eastAsia="宋体" w:cs="Times New Roman"/>
          <w:snapToGrid/>
          <w:spacing w:val="4"/>
          <w:sz w:val="24"/>
          <w:szCs w:val="24"/>
          <w:lang w:eastAsia="zh-CN"/>
        </w:rPr>
        <w:t>议裁</w:t>
      </w:r>
      <w:r>
        <w:rPr>
          <w:rFonts w:ascii="宋体" w:hAnsi="Times New Roman" w:eastAsia="宋体" w:cs="Times New Roman"/>
          <w:snapToGrid/>
          <w:spacing w:val="7"/>
          <w:sz w:val="24"/>
          <w:szCs w:val="24"/>
          <w:lang w:eastAsia="zh-CN"/>
        </w:rPr>
        <w:t>判</w:t>
      </w:r>
      <w:r>
        <w:rPr>
          <w:rFonts w:ascii="宋体" w:hAnsi="Times New Roman" w:eastAsia="宋体" w:cs="Times New Roman"/>
          <w:snapToGrid/>
          <w:spacing w:val="4"/>
          <w:sz w:val="24"/>
          <w:szCs w:val="24"/>
          <w:lang w:eastAsia="zh-CN"/>
        </w:rPr>
        <w:t>管辖</w:t>
      </w:r>
      <w:r>
        <w:rPr>
          <w:rFonts w:ascii="宋体" w:hAnsi="Times New Roman" w:eastAsia="宋体" w:cs="Times New Roman"/>
          <w:snapToGrid/>
          <w:spacing w:val="7"/>
          <w:sz w:val="24"/>
          <w:szCs w:val="24"/>
          <w:lang w:eastAsia="zh-CN"/>
        </w:rPr>
        <w:t>地</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z w:val="24"/>
          <w:szCs w:val="24"/>
          <w:lang w:eastAsia="zh-CN"/>
        </w:rPr>
        <w:t>和国。</w:t>
      </w:r>
    </w:p>
    <w:p w14:paraId="416A9DE7">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九、本保函自我方法定代表人或授权代表签字并加盖公章之日起生效</w:t>
      </w:r>
      <w:r>
        <w:rPr>
          <w:rFonts w:ascii="宋体" w:hAnsi="Times New Roman" w:eastAsia="宋体" w:cs="Times New Roman"/>
          <w:snapToGrid/>
          <w:spacing w:val="-17"/>
          <w:sz w:val="24"/>
          <w:szCs w:val="24"/>
          <w:lang w:eastAsia="zh-CN"/>
        </w:rPr>
        <w:t>。</w:t>
      </w:r>
    </w:p>
    <w:p w14:paraId="32386D47">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开立人（出函</w:t>
      </w:r>
      <w:r>
        <w:rPr>
          <w:rFonts w:hint="eastAsia" w:ascii="宋体" w:hAnsi="Times New Roman" w:eastAsia="宋体" w:cs="Times New Roman"/>
          <w:snapToGrid/>
          <w:sz w:val="24"/>
          <w:szCs w:val="24"/>
          <w:lang w:eastAsia="zh-CN"/>
        </w:rPr>
        <w:t>担保机构</w:t>
      </w:r>
      <w:r>
        <w:rPr>
          <w:rFonts w:ascii="宋体" w:hAnsi="Times New Roman" w:eastAsia="宋体" w:cs="Times New Roman"/>
          <w:snapToGrid/>
          <w:sz w:val="24"/>
          <w:szCs w:val="24"/>
          <w:lang w:eastAsia="zh-CN"/>
        </w:rPr>
        <w:t>）：（公章</w:t>
      </w:r>
      <w:r>
        <w:rPr>
          <w:rFonts w:ascii="宋体" w:hAnsi="Times New Roman" w:eastAsia="宋体" w:cs="Times New Roman"/>
          <w:snapToGrid/>
          <w:spacing w:val="-17"/>
          <w:sz w:val="24"/>
          <w:szCs w:val="24"/>
          <w:lang w:eastAsia="zh-CN"/>
        </w:rPr>
        <w:t>）</w:t>
      </w:r>
    </w:p>
    <w:p w14:paraId="39C505C6">
      <w:pPr>
        <w:widowControl w:val="0"/>
        <w:tabs>
          <w:tab w:val="left" w:pos="1678"/>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法定代表人（或授权代表）（出函</w:t>
      </w:r>
      <w:r>
        <w:rPr>
          <w:rFonts w:hint="eastAsia" w:ascii="宋体" w:hAnsi="Times New Roman" w:eastAsia="宋体" w:cs="Times New Roman"/>
          <w:snapToGrid/>
          <w:sz w:val="24"/>
          <w:szCs w:val="24"/>
          <w:lang w:eastAsia="zh-CN"/>
        </w:rPr>
        <w:t>担保机构</w:t>
      </w:r>
      <w:r>
        <w:rPr>
          <w:rFonts w:ascii="宋体" w:hAnsi="Times New Roman" w:eastAsia="宋体" w:cs="Times New Roman"/>
          <w:snapToGrid/>
          <w:sz w:val="24"/>
          <w:szCs w:val="24"/>
          <w:lang w:eastAsia="zh-CN"/>
        </w:rPr>
        <w:t>）：（签字或签章</w:t>
      </w:r>
      <w:r>
        <w:rPr>
          <w:rFonts w:ascii="宋体" w:hAnsi="Times New Roman" w:eastAsia="宋体" w:cs="Times New Roman"/>
          <w:snapToGrid/>
          <w:spacing w:val="-17"/>
          <w:sz w:val="24"/>
          <w:szCs w:val="24"/>
          <w:lang w:eastAsia="zh-CN"/>
        </w:rPr>
        <w:t>）</w:t>
      </w:r>
    </w:p>
    <w:p w14:paraId="567B539F">
      <w:pPr>
        <w:widowControl w:val="0"/>
        <w:tabs>
          <w:tab w:val="left" w:pos="1200"/>
          <w:tab w:val="left" w:pos="5697"/>
          <w:tab w:val="left" w:pos="7438"/>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地</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址</w:t>
      </w:r>
      <w:r>
        <w:rPr>
          <w:rFonts w:ascii="宋体" w:hAnsi="Times New Roman" w:eastAsia="宋体" w:cs="Times New Roman"/>
          <w:snapToGrid/>
          <w:sz w:val="24"/>
          <w:szCs w:val="24"/>
          <w:lang w:eastAsia="zh-CN"/>
        </w:rPr>
        <w:t>：</w:t>
      </w:r>
    </w:p>
    <w:p w14:paraId="5443DAAB">
      <w:pPr>
        <w:widowControl w:val="0"/>
        <w:tabs>
          <w:tab w:val="left" w:pos="41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邮</w:t>
      </w:r>
      <w:r>
        <w:rPr>
          <w:rFonts w:ascii="宋体" w:hAnsi="Times New Roman" w:eastAsia="宋体" w:cs="Times New Roman"/>
          <w:snapToGrid/>
          <w:sz w:val="24"/>
          <w:szCs w:val="24"/>
          <w:lang w:eastAsia="zh-CN"/>
        </w:rPr>
        <w:t>政编码：</w:t>
      </w:r>
      <w:r>
        <w:rPr>
          <w:rFonts w:ascii="Times New Roman" w:hAnsi="Times New Roman" w:eastAsia="Times New Roman" w:cs="Times New Roman"/>
          <w:snapToGrid/>
          <w:sz w:val="24"/>
          <w:szCs w:val="24"/>
          <w:u w:val="single" w:color="000000"/>
          <w:lang w:eastAsia="zh-CN"/>
        </w:rPr>
        <w:tab/>
      </w:r>
    </w:p>
    <w:p w14:paraId="4A28BF24">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电</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话</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1839ACEF">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传</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真</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77AC1307">
      <w:pPr>
        <w:widowControl w:val="0"/>
        <w:tabs>
          <w:tab w:val="left" w:pos="4141"/>
        </w:tabs>
        <w:kinsoku/>
        <w:autoSpaceDE/>
        <w:autoSpaceDN/>
        <w:adjustRightInd/>
        <w:snapToGrid/>
        <w:spacing w:line="440" w:lineRule="exact"/>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开立时间：年月</w:t>
      </w:r>
    </w:p>
    <w:p w14:paraId="1F62FB51">
      <w:pPr>
        <w:widowControl w:val="0"/>
        <w:kinsoku/>
        <w:autoSpaceDE/>
        <w:autoSpaceDN/>
        <w:adjustRightInd/>
        <w:snapToGrid/>
        <w:spacing w:line="440" w:lineRule="exact"/>
        <w:ind w:right="-15" w:firstLine="496" w:firstLineChars="200"/>
        <w:jc w:val="both"/>
        <w:rPr>
          <w:rFonts w:ascii="宋体" w:hAnsi="Times New Roman" w:eastAsia="宋体" w:cs="Times New Roman"/>
          <w:snapToGrid/>
          <w:spacing w:val="4"/>
          <w:sz w:val="24"/>
          <w:szCs w:val="24"/>
          <w:lang w:eastAsia="zh-CN"/>
        </w:rPr>
      </w:pPr>
      <w:r>
        <w:rPr>
          <w:rFonts w:ascii="宋体" w:hAnsi="Times New Roman" w:eastAsia="宋体" w:cs="Times New Roman"/>
          <w:snapToGrid/>
          <w:spacing w:val="4"/>
          <w:sz w:val="24"/>
          <w:szCs w:val="24"/>
          <w:lang w:eastAsia="zh-CN"/>
        </w:rPr>
        <w:t>注：</w:t>
      </w:r>
      <w:r>
        <w:rPr>
          <w:rFonts w:hint="eastAsia" w:ascii="宋体" w:hAnsi="Times New Roman" w:eastAsia="宋体" w:cs="Times New Roman"/>
          <w:snapToGrid/>
          <w:spacing w:val="4"/>
          <w:sz w:val="24"/>
          <w:szCs w:val="24"/>
          <w:lang w:eastAsia="zh-CN"/>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rFonts w:ascii="宋体" w:hAnsi="Times New Roman" w:eastAsia="宋体" w:cs="Times New Roman"/>
          <w:snapToGrid/>
          <w:spacing w:val="4"/>
          <w:sz w:val="24"/>
          <w:szCs w:val="24"/>
          <w:lang w:eastAsia="zh-CN"/>
        </w:rPr>
        <w:t>见索即付式的保函，视为未提交保函，其投标无效</w:t>
      </w:r>
      <w:r>
        <w:rPr>
          <w:rFonts w:hint="eastAsia" w:ascii="宋体" w:hAnsi="Times New Roman" w:eastAsia="宋体" w:cs="Times New Roman"/>
          <w:snapToGrid/>
          <w:spacing w:val="4"/>
          <w:sz w:val="24"/>
          <w:szCs w:val="24"/>
          <w:lang w:eastAsia="zh-CN"/>
        </w:rPr>
        <w:t>。</w:t>
      </w:r>
    </w:p>
    <w:p w14:paraId="33500AFF">
      <w:pPr>
        <w:widowControl w:val="0"/>
        <w:kinsoku/>
        <w:autoSpaceDE/>
        <w:autoSpaceDN/>
        <w:adjustRightInd/>
        <w:snapToGrid/>
        <w:spacing w:line="500" w:lineRule="exact"/>
        <w:ind w:right="1"/>
        <w:jc w:val="center"/>
        <w:rPr>
          <w:rFonts w:ascii="黑体" w:hAnsi="Times New Roman" w:eastAsia="黑体" w:cs="Times New Roman"/>
          <w:snapToGrid/>
          <w:sz w:val="24"/>
          <w:szCs w:val="24"/>
          <w:lang w:eastAsia="zh-CN"/>
        </w:rPr>
      </w:pPr>
    </w:p>
    <w:p w14:paraId="20C2B7CC">
      <w:pPr>
        <w:widowControl w:val="0"/>
        <w:kinsoku/>
        <w:autoSpaceDE/>
        <w:autoSpaceDN/>
        <w:adjustRightInd/>
        <w:snapToGrid/>
        <w:spacing w:line="500" w:lineRule="exact"/>
        <w:ind w:right="1"/>
        <w:jc w:val="center"/>
        <w:rPr>
          <w:rFonts w:ascii="黑体" w:hAnsi="Times New Roman" w:eastAsia="黑体" w:cs="Times New Roman"/>
          <w:snapToGrid/>
          <w:sz w:val="24"/>
          <w:szCs w:val="24"/>
          <w:lang w:eastAsia="zh-CN"/>
        </w:rPr>
      </w:pPr>
    </w:p>
    <w:p w14:paraId="6911DACF">
      <w:pPr>
        <w:rPr>
          <w:rFonts w:ascii="黑体" w:hAnsi="Times New Roman" w:eastAsia="黑体" w:cs="Times New Roman"/>
          <w:snapToGrid/>
          <w:sz w:val="24"/>
          <w:szCs w:val="24"/>
          <w:lang w:eastAsia="zh-CN"/>
        </w:rPr>
      </w:pPr>
      <w:r>
        <w:rPr>
          <w:rFonts w:ascii="黑体" w:hAnsi="Times New Roman" w:eastAsia="黑体" w:cs="Times New Roman"/>
          <w:snapToGrid/>
          <w:sz w:val="24"/>
          <w:szCs w:val="24"/>
          <w:lang w:eastAsia="zh-CN"/>
        </w:rPr>
        <w:br w:type="page"/>
      </w:r>
    </w:p>
    <w:p w14:paraId="6D041EE6">
      <w:pPr>
        <w:widowControl w:val="0"/>
        <w:kinsoku/>
        <w:autoSpaceDE/>
        <w:autoSpaceDN/>
        <w:adjustRightInd/>
        <w:snapToGrid/>
        <w:spacing w:line="500" w:lineRule="exact"/>
        <w:ind w:right="1"/>
        <w:jc w:val="center"/>
        <w:rPr>
          <w:rFonts w:ascii="黑体" w:hAnsi="Times New Roman" w:eastAsia="黑体" w:cs="Times New Roman"/>
          <w:snapToGrid/>
          <w:sz w:val="24"/>
          <w:szCs w:val="24"/>
          <w:lang w:eastAsia="zh-CN"/>
        </w:rPr>
      </w:pPr>
      <w:r>
        <w:rPr>
          <w:rFonts w:hint="eastAsia" w:ascii="黑体" w:hAnsi="Times New Roman" w:eastAsia="黑体" w:cs="Times New Roman"/>
          <w:snapToGrid/>
          <w:sz w:val="24"/>
          <w:szCs w:val="24"/>
          <w:lang w:eastAsia="zh-CN"/>
        </w:rPr>
        <w:t>保证保险（纸质）格式</w:t>
      </w:r>
    </w:p>
    <w:p w14:paraId="52224661">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投标人（即“申请人”）：</w:t>
      </w:r>
    </w:p>
    <w:p w14:paraId="07F2D594">
      <w:pPr>
        <w:widowControl w:val="0"/>
        <w:tabs>
          <w:tab w:val="left" w:pos="35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09F8362E">
      <w:pPr>
        <w:widowControl w:val="0"/>
        <w:tabs>
          <w:tab w:val="left" w:pos="3541"/>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招标人（即“受益人”）：</w:t>
      </w:r>
    </w:p>
    <w:p w14:paraId="12434B05">
      <w:pPr>
        <w:widowControl w:val="0"/>
        <w:tabs>
          <w:tab w:val="left" w:pos="3657"/>
        </w:tabs>
        <w:kinsoku/>
        <w:autoSpaceDE/>
        <w:autoSpaceDN/>
        <w:adjustRightInd/>
        <w:snapToGrid/>
        <w:spacing w:line="440" w:lineRule="exact"/>
        <w:ind w:firstLine="476" w:firstLineChars="200"/>
        <w:jc w:val="both"/>
        <w:rPr>
          <w:rFonts w:ascii="Times New Roman" w:hAnsi="Times New Roman" w:eastAsia="Times New Roman" w:cs="Times New Roman"/>
          <w:snapToGrid/>
          <w:sz w:val="24"/>
          <w:szCs w:val="24"/>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3AA1BD28">
      <w:pPr>
        <w:widowControl w:val="0"/>
        <w:tabs>
          <w:tab w:val="left" w:pos="4137"/>
          <w:tab w:val="left" w:pos="486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开</w:t>
      </w:r>
      <w:r>
        <w:rPr>
          <w:rFonts w:ascii="宋体" w:hAnsi="Times New Roman" w:eastAsia="宋体" w:cs="Times New Roman"/>
          <w:snapToGrid/>
          <w:sz w:val="24"/>
          <w:szCs w:val="24"/>
          <w:lang w:eastAsia="zh-CN"/>
        </w:rPr>
        <w:t>立人（出</w:t>
      </w:r>
      <w:r>
        <w:rPr>
          <w:rFonts w:hint="eastAsia" w:ascii="宋体" w:hAnsi="Times New Roman" w:eastAsia="宋体" w:cs="Times New Roman"/>
          <w:snapToGrid/>
          <w:sz w:val="24"/>
          <w:szCs w:val="24"/>
          <w:lang w:eastAsia="zh-CN"/>
        </w:rPr>
        <w:t>函保险机构</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r>
        <w:rPr>
          <w:rFonts w:ascii="Times New Roman" w:hAnsi="Times New Roman" w:eastAsia="Times New Roman" w:cs="Times New Roman"/>
          <w:snapToGrid/>
          <w:sz w:val="24"/>
          <w:szCs w:val="24"/>
          <w:u w:val="single" w:color="000000"/>
          <w:lang w:eastAsia="zh-CN"/>
        </w:rPr>
        <w:tab/>
      </w:r>
    </w:p>
    <w:p w14:paraId="69E2862A">
      <w:pPr>
        <w:widowControl w:val="0"/>
        <w:tabs>
          <w:tab w:val="left" w:pos="4137"/>
          <w:tab w:val="left" w:pos="5339"/>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地</w:t>
      </w:r>
      <w:r>
        <w:rPr>
          <w:rFonts w:ascii="宋体" w:hAnsi="Times New Roman" w:eastAsia="宋体" w:cs="Times New Roman"/>
          <w:snapToGrid/>
          <w:sz w:val="24"/>
          <w:szCs w:val="24"/>
          <w:lang w:eastAsia="zh-CN"/>
        </w:rPr>
        <w:t>址：</w:t>
      </w:r>
      <w:r>
        <w:rPr>
          <w:rFonts w:ascii="Times New Roman" w:hAnsi="Times New Roman" w:eastAsia="Times New Roman" w:cs="Times New Roman"/>
          <w:snapToGrid/>
          <w:sz w:val="24"/>
          <w:szCs w:val="24"/>
          <w:u w:val="single" w:color="000000"/>
          <w:lang w:eastAsia="zh-CN"/>
        </w:rPr>
        <w:tab/>
      </w:r>
    </w:p>
    <w:p w14:paraId="3241E2E8">
      <w:pPr>
        <w:widowControl w:val="0"/>
        <w:kinsoku/>
        <w:autoSpaceDE/>
        <w:autoSpaceDN/>
        <w:adjustRightInd/>
        <w:snapToGrid/>
        <w:spacing w:line="440" w:lineRule="exact"/>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致：</w:t>
      </w:r>
      <w:r>
        <w:rPr>
          <w:rFonts w:ascii="宋体" w:hAnsi="Times New Roman" w:eastAsia="宋体" w:cs="Times New Roman"/>
          <w:snapToGrid/>
          <w:sz w:val="24"/>
          <w:szCs w:val="24"/>
          <w:u w:val="single"/>
          <w:lang w:eastAsia="zh-CN"/>
        </w:rPr>
        <w:t>（招标人名称）</w:t>
      </w:r>
    </w:p>
    <w:p w14:paraId="24AABC78">
      <w:pPr>
        <w:widowControl w:val="0"/>
        <w:kinsoku/>
        <w:autoSpaceDE/>
        <w:autoSpaceDN/>
        <w:adjustRightInd/>
        <w:snapToGrid/>
        <w:spacing w:line="440" w:lineRule="exact"/>
        <w:ind w:firstLine="480" w:firstLineChars="200"/>
        <w:jc w:val="both"/>
        <w:textAlignment w:val="auto"/>
        <w:rPr>
          <w:rFonts w:hint="eastAsia" w:ascii="宋体" w:hAnsi="宋体" w:eastAsia="宋体" w:cs="Times New Roman"/>
          <w:snapToGrid/>
          <w:sz w:val="24"/>
          <w:szCs w:val="20"/>
          <w:lang w:eastAsia="zh-CN"/>
        </w:rPr>
      </w:pPr>
      <w:r>
        <w:rPr>
          <w:rFonts w:hint="eastAsia" w:ascii="宋体" w:hAnsi="宋体" w:eastAsia="宋体" w:cs="Times New Roman"/>
          <w:snapToGrid/>
          <w:sz w:val="24"/>
          <w:szCs w:val="20"/>
          <w:lang w:eastAsia="zh-CN"/>
        </w:rPr>
        <w:t>我方（即“开立人”）已获得通知，本保证保险申请人（即“投标人”）已响应贵方于年月日就（以下简称“本项目”）发出的招标文件，并已向招标人（即“受益人”）提交了投标文件（即“基础交易”）。</w:t>
      </w:r>
    </w:p>
    <w:p w14:paraId="450D076F">
      <w:pPr>
        <w:widowControl w:val="0"/>
        <w:tabs>
          <w:tab w:val="left" w:pos="1918"/>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一</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我方理解根据招标条件</w:t>
      </w:r>
      <w:r>
        <w:rPr>
          <w:rFonts w:ascii="宋体" w:hAnsi="Times New Roman" w:eastAsia="宋体" w:cs="Times New Roman"/>
          <w:snapToGrid/>
          <w:spacing w:val="-48"/>
          <w:sz w:val="24"/>
          <w:szCs w:val="24"/>
          <w:lang w:eastAsia="zh-CN"/>
        </w:rPr>
        <w:t>，</w:t>
      </w:r>
      <w:r>
        <w:rPr>
          <w:rFonts w:ascii="宋体" w:hAnsi="Times New Roman" w:eastAsia="宋体" w:cs="Times New Roman"/>
          <w:snapToGrid/>
          <w:sz w:val="24"/>
          <w:szCs w:val="24"/>
          <w:lang w:eastAsia="zh-CN"/>
        </w:rPr>
        <w:t>投标人必须提交一份投标</w:t>
      </w:r>
      <w:r>
        <w:rPr>
          <w:rFonts w:hint="eastAsia" w:ascii="宋体" w:hAnsi="Times New Roman" w:eastAsia="宋体" w:cs="Times New Roman"/>
          <w:snapToGrid/>
          <w:sz w:val="24"/>
          <w:szCs w:val="24"/>
          <w:lang w:eastAsia="zh-CN"/>
        </w:rPr>
        <w:t>保证保险</w:t>
      </w:r>
      <w:r>
        <w:rPr>
          <w:rFonts w:hint="eastAsia" w:ascii="宋体" w:hAnsi="Times New Roman" w:eastAsia="宋体" w:cs="Times New Roman"/>
          <w:b/>
          <w:snapToGrid/>
          <w:sz w:val="24"/>
          <w:szCs w:val="24"/>
          <w:lang w:eastAsia="zh-CN"/>
        </w:rPr>
        <w:t>（以下简称</w:t>
      </w:r>
      <w:r>
        <w:rPr>
          <w:rFonts w:ascii="宋体" w:hAnsi="Times New Roman" w:eastAsia="宋体" w:cs="Times New Roman"/>
          <w:b/>
          <w:snapToGrid/>
          <w:sz w:val="24"/>
          <w:szCs w:val="24"/>
          <w:lang w:eastAsia="zh-CN"/>
        </w:rPr>
        <w:t>“</w:t>
      </w:r>
      <w:r>
        <w:rPr>
          <w:rFonts w:hint="eastAsia" w:ascii="宋体" w:hAnsi="Times New Roman" w:eastAsia="宋体" w:cs="Times New Roman"/>
          <w:b/>
          <w:snapToGrid/>
          <w:sz w:val="24"/>
          <w:szCs w:val="24"/>
          <w:lang w:eastAsia="zh-CN"/>
        </w:rPr>
        <w:t>本保险</w:t>
      </w:r>
      <w:r>
        <w:rPr>
          <w:rFonts w:ascii="宋体" w:hAnsi="Times New Roman" w:eastAsia="宋体" w:cs="Times New Roman"/>
          <w:b/>
          <w:snapToGrid/>
          <w:sz w:val="24"/>
          <w:szCs w:val="24"/>
          <w:lang w:eastAsia="zh-CN"/>
        </w:rPr>
        <w:t>”）</w:t>
      </w:r>
      <w:r>
        <w:rPr>
          <w:rFonts w:hint="eastAsia" w:ascii="宋体" w:hAnsi="Times New Roman" w:eastAsia="宋体" w:cs="Times New Roman"/>
          <w:b/>
          <w:snapToGrid/>
          <w:sz w:val="24"/>
          <w:szCs w:val="24"/>
          <w:lang w:eastAsia="zh-CN"/>
        </w:rPr>
        <w:t>，</w:t>
      </w:r>
      <w:r>
        <w:rPr>
          <w:rFonts w:ascii="宋体" w:hAnsi="Times New Roman" w:eastAsia="宋体" w:cs="Times New Roman"/>
          <w:snapToGrid/>
          <w:sz w:val="24"/>
          <w:szCs w:val="24"/>
          <w:lang w:eastAsia="zh-CN"/>
        </w:rPr>
        <w:t>以担保投标人诚信履行其在</w:t>
      </w:r>
      <w:r>
        <w:rPr>
          <w:rFonts w:ascii="宋体" w:hAnsi="Times New Roman" w:eastAsia="宋体" w:cs="Times New Roman"/>
          <w:b/>
          <w:snapToGrid/>
          <w:sz w:val="24"/>
          <w:szCs w:val="24"/>
          <w:lang w:eastAsia="zh-CN"/>
        </w:rPr>
        <w:t>上述基础交易</w:t>
      </w:r>
      <w:r>
        <w:rPr>
          <w:rFonts w:ascii="宋体" w:hAnsi="Times New Roman" w:eastAsia="宋体" w:cs="Times New Roman"/>
          <w:snapToGrid/>
          <w:sz w:val="24"/>
          <w:szCs w:val="24"/>
          <w:lang w:eastAsia="zh-CN"/>
        </w:rPr>
        <w:t>中承担的投标人义务。鉴此，应投标人要求，</w:t>
      </w:r>
      <w:r>
        <w:rPr>
          <w:rFonts w:ascii="宋体" w:hAnsi="Times New Roman" w:eastAsia="宋体" w:cs="Times New Roman"/>
          <w:snapToGrid/>
          <w:spacing w:val="12"/>
          <w:sz w:val="24"/>
          <w:szCs w:val="24"/>
          <w:lang w:eastAsia="zh-CN"/>
        </w:rPr>
        <w:t>我方在此</w:t>
      </w:r>
      <w:r>
        <w:rPr>
          <w:rFonts w:ascii="宋体" w:hAnsi="Times New Roman" w:eastAsia="宋体" w:cs="Times New Roman"/>
          <w:snapToGrid/>
          <w:spacing w:val="14"/>
          <w:sz w:val="24"/>
          <w:szCs w:val="24"/>
          <w:lang w:eastAsia="zh-CN"/>
        </w:rPr>
        <w:t>同</w:t>
      </w:r>
      <w:r>
        <w:rPr>
          <w:rFonts w:ascii="宋体" w:hAnsi="Times New Roman" w:eastAsia="宋体" w:cs="Times New Roman"/>
          <w:snapToGrid/>
          <w:spacing w:val="12"/>
          <w:sz w:val="24"/>
          <w:szCs w:val="24"/>
          <w:lang w:eastAsia="zh-CN"/>
        </w:rPr>
        <w:t>意向贵方出具此</w:t>
      </w:r>
      <w:r>
        <w:rPr>
          <w:rFonts w:ascii="宋体" w:hAnsi="Times New Roman" w:eastAsia="宋体" w:cs="Times New Roman"/>
          <w:snapToGrid/>
          <w:spacing w:val="14"/>
          <w:sz w:val="24"/>
          <w:szCs w:val="24"/>
          <w:lang w:eastAsia="zh-CN"/>
        </w:rPr>
        <w:t>投</w:t>
      </w:r>
      <w:r>
        <w:rPr>
          <w:rFonts w:ascii="宋体" w:hAnsi="Times New Roman" w:eastAsia="宋体" w:cs="Times New Roman"/>
          <w:snapToGrid/>
          <w:spacing w:val="12"/>
          <w:sz w:val="24"/>
          <w:szCs w:val="24"/>
          <w:lang w:eastAsia="zh-CN"/>
        </w:rPr>
        <w:t>标</w:t>
      </w:r>
      <w:r>
        <w:rPr>
          <w:rFonts w:hint="eastAsia" w:ascii="宋体" w:hAnsi="Times New Roman" w:eastAsia="宋体" w:cs="Times New Roman"/>
          <w:snapToGrid/>
          <w:spacing w:val="12"/>
          <w:sz w:val="24"/>
          <w:szCs w:val="24"/>
          <w:lang w:eastAsia="zh-CN"/>
        </w:rPr>
        <w:t>保证保险</w:t>
      </w:r>
      <w:r>
        <w:rPr>
          <w:rFonts w:ascii="宋体" w:hAnsi="Times New Roman" w:eastAsia="宋体" w:cs="Times New Roman"/>
          <w:snapToGrid/>
          <w:spacing w:val="12"/>
          <w:sz w:val="24"/>
          <w:szCs w:val="24"/>
          <w:lang w:eastAsia="zh-CN"/>
        </w:rPr>
        <w:t>，本</w:t>
      </w:r>
      <w:r>
        <w:rPr>
          <w:rFonts w:hint="eastAsia" w:ascii="宋体" w:hAnsi="Times New Roman" w:eastAsia="宋体" w:cs="Times New Roman"/>
          <w:snapToGrid/>
          <w:spacing w:val="12"/>
          <w:sz w:val="24"/>
          <w:szCs w:val="24"/>
          <w:lang w:eastAsia="zh-CN"/>
        </w:rPr>
        <w:t>保证保险</w:t>
      </w:r>
      <w:r>
        <w:rPr>
          <w:rFonts w:ascii="宋体" w:hAnsi="Times New Roman" w:eastAsia="宋体" w:cs="Times New Roman"/>
          <w:snapToGrid/>
          <w:spacing w:val="12"/>
          <w:sz w:val="24"/>
          <w:szCs w:val="24"/>
          <w:lang w:eastAsia="zh-CN"/>
        </w:rPr>
        <w:t>担</w:t>
      </w:r>
      <w:r>
        <w:rPr>
          <w:rFonts w:ascii="宋体" w:hAnsi="Times New Roman" w:eastAsia="宋体" w:cs="Times New Roman"/>
          <w:snapToGrid/>
          <w:spacing w:val="14"/>
          <w:sz w:val="24"/>
          <w:szCs w:val="24"/>
          <w:lang w:eastAsia="zh-CN"/>
        </w:rPr>
        <w:t>保</w:t>
      </w:r>
      <w:r>
        <w:rPr>
          <w:rFonts w:ascii="宋体" w:hAnsi="Times New Roman" w:eastAsia="宋体" w:cs="Times New Roman"/>
          <w:snapToGrid/>
          <w:spacing w:val="12"/>
          <w:sz w:val="24"/>
          <w:szCs w:val="24"/>
          <w:lang w:eastAsia="zh-CN"/>
        </w:rPr>
        <w:t>金额最高不超过人民币（</w:t>
      </w:r>
      <w:r>
        <w:rPr>
          <w:rFonts w:ascii="宋体" w:hAnsi="Times New Roman" w:eastAsia="宋体" w:cs="Times New Roman"/>
          <w:snapToGrid/>
          <w:spacing w:val="14"/>
          <w:sz w:val="24"/>
          <w:szCs w:val="24"/>
          <w:lang w:eastAsia="zh-CN"/>
        </w:rPr>
        <w:t>大</w:t>
      </w:r>
      <w:r>
        <w:rPr>
          <w:rFonts w:ascii="宋体" w:hAnsi="Times New Roman" w:eastAsia="宋体" w:cs="Times New Roman"/>
          <w:snapToGrid/>
          <w:spacing w:val="12"/>
          <w:sz w:val="24"/>
          <w:szCs w:val="24"/>
          <w:lang w:eastAsia="zh-CN"/>
        </w:rPr>
        <w:t>写</w:t>
      </w:r>
      <w:r>
        <w:rPr>
          <w:rFonts w:ascii="宋体" w:hAnsi="Times New Roman" w:eastAsia="宋体" w:cs="Times New Roman"/>
          <w:snapToGrid/>
          <w:sz w:val="24"/>
          <w:szCs w:val="24"/>
          <w:lang w:eastAsia="zh-CN"/>
        </w:rPr>
        <w:t>）元（¥</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w:t>
      </w:r>
    </w:p>
    <w:p w14:paraId="1FE2FDE0">
      <w:pPr>
        <w:widowControl w:val="0"/>
        <w:kinsoku/>
        <w:adjustRightInd/>
        <w:snapToGrid/>
        <w:spacing w:line="440" w:lineRule="exact"/>
        <w:ind w:firstLine="480" w:firstLineChars="200"/>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二、</w:t>
      </w:r>
      <w:r>
        <w:rPr>
          <w:rFonts w:ascii="Times New Roman" w:hAnsi="Times New Roman" w:eastAsia="宋体" w:cs="Times New Roman"/>
          <w:snapToGrid/>
          <w:sz w:val="24"/>
          <w:szCs w:val="24"/>
          <w:lang w:eastAsia="zh-CN"/>
        </w:rPr>
        <w:t>我方在投标人发生以下情形时承担保证担保责任：</w:t>
      </w:r>
    </w:p>
    <w:p w14:paraId="623237F7">
      <w:pPr>
        <w:widowControl w:val="0"/>
        <w:tabs>
          <w:tab w:val="left" w:pos="1560"/>
        </w:tabs>
        <w:kinsoku/>
        <w:autoSpaceDE/>
        <w:autoSpaceDN/>
        <w:adjustRightInd/>
        <w:snapToGrid/>
        <w:spacing w:line="440" w:lineRule="exact"/>
        <w:ind w:firstLine="240" w:firstLineChars="1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（1）</w:t>
      </w:r>
      <w:r>
        <w:rPr>
          <w:rFonts w:ascii="宋体" w:hAnsi="Times New Roman" w:eastAsia="宋体" w:cs="Times New Roman"/>
          <w:snapToGrid/>
          <w:sz w:val="24"/>
          <w:szCs w:val="24"/>
          <w:lang w:eastAsia="zh-CN"/>
        </w:rPr>
        <w:t>投标人在开标后和投标有效期满之前撤销投标的；</w:t>
      </w:r>
    </w:p>
    <w:p w14:paraId="3B99E469">
      <w:pPr>
        <w:widowControl w:val="0"/>
        <w:kinsoku/>
        <w:autoSpaceDE/>
        <w:autoSpaceDN/>
        <w:adjustRightInd/>
        <w:snapToGrid/>
        <w:spacing w:line="440" w:lineRule="exact"/>
        <w:ind w:right="105" w:firstLine="240" w:firstLineChars="100"/>
        <w:jc w:val="both"/>
        <w:rPr>
          <w:rFonts w:hint="eastAsia" w:ascii="宋体" w:hAnsi="宋体" w:eastAsia="宋体" w:cs="Times New Roman"/>
          <w:snapToGrid/>
          <w:sz w:val="24"/>
          <w:szCs w:val="24"/>
          <w:lang w:eastAsia="zh-CN"/>
        </w:rPr>
      </w:pPr>
      <w:r>
        <w:rPr>
          <w:rFonts w:hint="eastAsia" w:ascii="宋体" w:hAnsi="Times New Roman" w:eastAsia="宋体" w:cs="Times New Roman"/>
          <w:snapToGrid/>
          <w:sz w:val="24"/>
          <w:szCs w:val="24"/>
          <w:lang w:eastAsia="zh-CN"/>
        </w:rPr>
        <w:t>（2）</w:t>
      </w:r>
      <w:r>
        <w:rPr>
          <w:rFonts w:hint="eastAsia" w:ascii="宋体" w:hAnsi="宋体" w:eastAsia="宋体" w:cs="Times New Roman"/>
          <w:snapToGrid/>
          <w:sz w:val="24"/>
          <w:szCs w:val="24"/>
          <w:lang w:eastAsia="zh-CN"/>
        </w:rPr>
        <w:t>投标人在中标后无正当理由不与招标人订立合同或者签订合同时向招标人提出附加条件的；</w:t>
      </w:r>
    </w:p>
    <w:p w14:paraId="19DC5648">
      <w:pPr>
        <w:widowControl w:val="0"/>
        <w:kinsoku/>
        <w:autoSpaceDE/>
        <w:autoSpaceDN/>
        <w:adjustRightInd/>
        <w:snapToGrid/>
        <w:spacing w:line="440" w:lineRule="exact"/>
        <w:ind w:right="105" w:firstLine="240" w:firstLineChars="100"/>
        <w:jc w:val="both"/>
        <w:rPr>
          <w:rFonts w:hint="eastAsia" w:ascii="宋体" w:hAnsi="宋体" w:eastAsia="宋体" w:cs="Times New Roman"/>
          <w:snapToGrid/>
          <w:sz w:val="24"/>
          <w:szCs w:val="24"/>
          <w:lang w:eastAsia="zh-CN"/>
        </w:rPr>
      </w:pPr>
      <w:r>
        <w:rPr>
          <w:rFonts w:hint="eastAsia" w:ascii="宋体" w:hAnsi="宋体" w:eastAsia="宋体" w:cs="Times New Roman"/>
          <w:snapToGrid/>
          <w:sz w:val="24"/>
          <w:szCs w:val="24"/>
          <w:lang w:eastAsia="zh-CN"/>
        </w:rPr>
        <w:t>（3）投标人在中标后不按照招标文件要求提交履约保证金或履约担保的；</w:t>
      </w:r>
    </w:p>
    <w:p w14:paraId="34E6BC3B">
      <w:pPr>
        <w:widowControl w:val="0"/>
        <w:tabs>
          <w:tab w:val="left" w:pos="1560"/>
        </w:tabs>
        <w:kinsoku/>
        <w:autoSpaceDE/>
        <w:autoSpaceDN/>
        <w:adjustRightInd/>
        <w:snapToGrid/>
        <w:spacing w:line="440" w:lineRule="exact"/>
        <w:ind w:firstLine="240" w:firstLineChars="1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（4）</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违反招标文件规定，依照招标文件的约定属于投标保证金不予退还</w:t>
      </w:r>
      <w:r>
        <w:rPr>
          <w:rFonts w:ascii="宋体" w:hAnsi="Times New Roman" w:eastAsia="宋体" w:cs="Times New Roman"/>
          <w:snapToGrid/>
          <w:sz w:val="24"/>
          <w:szCs w:val="24"/>
          <w:lang w:eastAsia="zh-CN"/>
        </w:rPr>
        <w:t>的</w:t>
      </w:r>
      <w:r>
        <w:rPr>
          <w:rFonts w:hint="eastAsia" w:ascii="宋体" w:hAnsi="Times New Roman" w:eastAsia="宋体" w:cs="Times New Roman"/>
          <w:snapToGrid/>
          <w:sz w:val="24"/>
          <w:szCs w:val="24"/>
          <w:lang w:eastAsia="zh-CN"/>
        </w:rPr>
        <w:t>；</w:t>
      </w:r>
    </w:p>
    <w:p w14:paraId="12D0067E">
      <w:pPr>
        <w:widowControl w:val="0"/>
        <w:tabs>
          <w:tab w:val="left" w:pos="1560"/>
        </w:tabs>
        <w:kinsoku/>
        <w:autoSpaceDE/>
        <w:autoSpaceDN/>
        <w:adjustRightInd/>
        <w:snapToGrid/>
        <w:spacing w:line="440" w:lineRule="exact"/>
        <w:ind w:firstLine="240" w:firstLineChars="1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（5）</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违反投标承诺，依照招标文件的约定和投标文件承诺，属于投标保证金不予退还的；</w:t>
      </w:r>
    </w:p>
    <w:p w14:paraId="5195C832">
      <w:pPr>
        <w:widowControl w:val="0"/>
        <w:tabs>
          <w:tab w:val="left" w:pos="1560"/>
        </w:tabs>
        <w:kinsoku/>
        <w:autoSpaceDE/>
        <w:autoSpaceDN/>
        <w:adjustRightInd/>
        <w:snapToGrid/>
        <w:spacing w:line="440" w:lineRule="exact"/>
        <w:ind w:firstLine="240" w:firstLineChars="100"/>
        <w:jc w:val="both"/>
        <w:rPr>
          <w:rFonts w:ascii="宋体" w:hAnsi="Times New Roman" w:eastAsia="宋体" w:cs="Times New Roman"/>
          <w:snapToGrid/>
          <w:sz w:val="24"/>
          <w:szCs w:val="24"/>
          <w:lang w:eastAsia="zh-CN"/>
        </w:rPr>
      </w:pPr>
      <w:r>
        <w:rPr>
          <w:rFonts w:hint="eastAsia" w:ascii="宋体" w:hAnsi="Times New Roman" w:eastAsia="宋体" w:cs="Times New Roman"/>
          <w:snapToGrid/>
          <w:sz w:val="24"/>
          <w:szCs w:val="24"/>
          <w:lang w:eastAsia="zh-CN"/>
        </w:rPr>
        <w:t>（6）</w:t>
      </w:r>
      <w:r>
        <w:rPr>
          <w:rFonts w:ascii="宋体" w:hAnsi="Times New Roman" w:eastAsia="宋体" w:cs="Times New Roman"/>
          <w:snapToGrid/>
          <w:sz w:val="24"/>
          <w:szCs w:val="24"/>
          <w:lang w:eastAsia="zh-CN"/>
        </w:rPr>
        <w:t>投标人</w:t>
      </w:r>
      <w:r>
        <w:rPr>
          <w:rFonts w:hint="eastAsia" w:ascii="宋体" w:hAnsi="Times New Roman" w:eastAsia="宋体" w:cs="Times New Roman"/>
          <w:snapToGrid/>
          <w:sz w:val="24"/>
          <w:szCs w:val="24"/>
          <w:lang w:eastAsia="zh-CN"/>
        </w:rPr>
        <w:t>违反招标文件约定的其他情形。</w:t>
      </w:r>
    </w:p>
    <w:p w14:paraId="7A2DF762">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三、本</w:t>
      </w:r>
      <w:r>
        <w:rPr>
          <w:rFonts w:hint="eastAsia" w:ascii="宋体" w:hAnsi="Times New Roman" w:eastAsia="宋体" w:cs="Times New Roman"/>
          <w:snapToGrid/>
          <w:spacing w:val="-8"/>
          <w:sz w:val="24"/>
          <w:szCs w:val="24"/>
          <w:lang w:eastAsia="zh-CN"/>
        </w:rPr>
        <w:t>保险</w:t>
      </w:r>
      <w:r>
        <w:rPr>
          <w:rFonts w:ascii="宋体" w:hAnsi="Times New Roman" w:eastAsia="宋体" w:cs="Times New Roman"/>
          <w:snapToGrid/>
          <w:spacing w:val="-8"/>
          <w:sz w:val="24"/>
          <w:szCs w:val="24"/>
          <w:lang w:eastAsia="zh-CN"/>
        </w:rPr>
        <w:t>为不可撤销、不可转让的见索即付独立</w:t>
      </w:r>
      <w:r>
        <w:rPr>
          <w:rFonts w:hint="eastAsia" w:ascii="宋体" w:hAnsi="Times New Roman" w:eastAsia="宋体" w:cs="Times New Roman"/>
          <w:snapToGrid/>
          <w:spacing w:val="-8"/>
          <w:sz w:val="24"/>
          <w:szCs w:val="24"/>
          <w:lang w:eastAsia="zh-CN"/>
        </w:rPr>
        <w:t>保证</w:t>
      </w:r>
      <w:r>
        <w:rPr>
          <w:rFonts w:ascii="宋体" w:hAnsi="Times New Roman" w:eastAsia="宋体" w:cs="Times New Roman"/>
          <w:snapToGrid/>
          <w:spacing w:val="-8"/>
          <w:sz w:val="24"/>
          <w:szCs w:val="24"/>
          <w:lang w:eastAsia="zh-CN"/>
        </w:rPr>
        <w:t>。本</w:t>
      </w:r>
      <w:r>
        <w:rPr>
          <w:rFonts w:hint="eastAsia" w:ascii="宋体" w:hAnsi="Times New Roman" w:eastAsia="宋体" w:cs="Times New Roman"/>
          <w:snapToGrid/>
          <w:spacing w:val="-8"/>
          <w:sz w:val="24"/>
          <w:szCs w:val="24"/>
          <w:lang w:eastAsia="zh-CN"/>
        </w:rPr>
        <w:t>保险</w:t>
      </w:r>
      <w:r>
        <w:rPr>
          <w:rFonts w:ascii="宋体" w:hAnsi="Times New Roman" w:eastAsia="宋体" w:cs="Times New Roman"/>
          <w:snapToGrid/>
          <w:spacing w:val="-8"/>
          <w:sz w:val="24"/>
          <w:szCs w:val="24"/>
          <w:lang w:eastAsia="zh-CN"/>
        </w:rPr>
        <w:t>有效期自开立之日</w:t>
      </w:r>
      <w:r>
        <w:rPr>
          <w:rFonts w:ascii="宋体" w:hAnsi="Times New Roman" w:eastAsia="宋体" w:cs="Times New Roman"/>
          <w:snapToGrid/>
          <w:sz w:val="24"/>
          <w:szCs w:val="24"/>
          <w:lang w:eastAsia="zh-CN"/>
        </w:rPr>
        <w:t>起至投标有效期届满之日后的</w:t>
      </w:r>
      <w:r>
        <w:rPr>
          <w:rFonts w:ascii="宋体" w:hAnsi="Times New Roman" w:eastAsia="宋体" w:cs="Times New Roman"/>
          <w:snapToGrid/>
          <w:spacing w:val="-8"/>
          <w:sz w:val="24"/>
          <w:szCs w:val="24"/>
          <w:lang w:eastAsia="zh-CN"/>
        </w:rPr>
        <w:t>日。投标有效期延长的，本</w:t>
      </w:r>
      <w:r>
        <w:rPr>
          <w:rFonts w:hint="eastAsia" w:ascii="宋体" w:hAnsi="Times New Roman" w:eastAsia="宋体" w:cs="Times New Roman"/>
          <w:snapToGrid/>
          <w:spacing w:val="-8"/>
          <w:sz w:val="24"/>
          <w:szCs w:val="24"/>
          <w:lang w:eastAsia="zh-CN"/>
        </w:rPr>
        <w:t>保险</w:t>
      </w:r>
      <w:r>
        <w:rPr>
          <w:rFonts w:ascii="宋体" w:hAnsi="Times New Roman" w:eastAsia="宋体" w:cs="Times New Roman"/>
          <w:snapToGrid/>
          <w:spacing w:val="-8"/>
          <w:sz w:val="24"/>
          <w:szCs w:val="24"/>
          <w:lang w:eastAsia="zh-CN"/>
        </w:rPr>
        <w:t>有效期相应顺延，最</w:t>
      </w:r>
      <w:r>
        <w:rPr>
          <w:rFonts w:ascii="宋体" w:hAnsi="Times New Roman" w:eastAsia="宋体" w:cs="Times New Roman"/>
          <w:snapToGrid/>
          <w:sz w:val="24"/>
          <w:szCs w:val="24"/>
          <w:lang w:eastAsia="zh-CN"/>
        </w:rPr>
        <w:t>迟不超过年月日。</w:t>
      </w:r>
    </w:p>
    <w:p w14:paraId="507866E8">
      <w:pPr>
        <w:widowControl w:val="0"/>
        <w:tabs>
          <w:tab w:val="left" w:pos="7164"/>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四</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我方承诺</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在收到招标人发来的书面付款通知后的</w:t>
      </w:r>
      <w:r>
        <w:rPr>
          <w:rFonts w:ascii="宋体" w:hAnsi="Times New Roman" w:eastAsia="宋体" w:cs="Times New Roman"/>
          <w:snapToGrid/>
          <w:sz w:val="24"/>
          <w:szCs w:val="24"/>
          <w:u w:val="single" w:color="000000"/>
          <w:lang w:eastAsia="zh-CN"/>
        </w:rPr>
        <w:tab/>
      </w:r>
      <w:r>
        <w:rPr>
          <w:rFonts w:ascii="宋体" w:hAnsi="Times New Roman" w:eastAsia="宋体" w:cs="Times New Roman"/>
          <w:snapToGrid/>
          <w:sz w:val="24"/>
          <w:szCs w:val="24"/>
          <w:lang w:eastAsia="zh-CN"/>
        </w:rPr>
        <w:t>日内无条件支付</w:t>
      </w:r>
      <w:r>
        <w:rPr>
          <w:rFonts w:ascii="宋体" w:hAnsi="Times New Roman" w:eastAsia="宋体" w:cs="Times New Roman"/>
          <w:snapToGrid/>
          <w:spacing w:val="-17"/>
          <w:sz w:val="24"/>
          <w:szCs w:val="24"/>
          <w:lang w:eastAsia="zh-CN"/>
        </w:rPr>
        <w:t>，</w:t>
      </w:r>
      <w:r>
        <w:rPr>
          <w:rFonts w:ascii="宋体" w:hAnsi="Times New Roman" w:eastAsia="宋体" w:cs="Times New Roman"/>
          <w:snapToGrid/>
          <w:sz w:val="24"/>
          <w:szCs w:val="24"/>
          <w:lang w:eastAsia="zh-CN"/>
        </w:rPr>
        <w:t>前</w:t>
      </w:r>
      <w:r>
        <w:rPr>
          <w:rFonts w:ascii="宋体" w:hAnsi="Times New Roman" w:eastAsia="宋体" w:cs="Times New Roman"/>
          <w:snapToGrid/>
          <w:spacing w:val="-18"/>
          <w:sz w:val="24"/>
          <w:szCs w:val="24"/>
          <w:lang w:eastAsia="zh-CN"/>
        </w:rPr>
        <w:t>述</w:t>
      </w:r>
      <w:r>
        <w:rPr>
          <w:rFonts w:ascii="宋体" w:hAnsi="Times New Roman" w:eastAsia="宋体" w:cs="Times New Roman"/>
          <w:snapToGrid/>
          <w:sz w:val="24"/>
          <w:szCs w:val="24"/>
          <w:lang w:eastAsia="zh-CN"/>
        </w:rPr>
        <w:t>书面付款通知即为付款要求之单据，且应满足以下要求：</w:t>
      </w:r>
    </w:p>
    <w:p w14:paraId="3610B94F">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（1）</w:t>
      </w:r>
      <w:r>
        <w:rPr>
          <w:rFonts w:ascii="Times New Roman" w:hAnsi="Times New Roman" w:eastAsia="宋体" w:cs="Times New Roman"/>
          <w:snapToGrid/>
          <w:sz w:val="24"/>
          <w:szCs w:val="24"/>
          <w:lang w:eastAsia="zh-CN"/>
        </w:rPr>
        <w:t>付款通知到达的日期在本</w:t>
      </w:r>
      <w:r>
        <w:rPr>
          <w:rFonts w:hint="eastAsia" w:ascii="Times New Roman" w:hAnsi="Times New Roman" w:eastAsia="宋体" w:cs="Times New Roman"/>
          <w:snapToGrid/>
          <w:sz w:val="24"/>
          <w:szCs w:val="24"/>
          <w:lang w:eastAsia="zh-CN"/>
        </w:rPr>
        <w:t>保险</w:t>
      </w:r>
      <w:r>
        <w:rPr>
          <w:rFonts w:ascii="Times New Roman" w:hAnsi="Times New Roman" w:eastAsia="宋体" w:cs="Times New Roman"/>
          <w:snapToGrid/>
          <w:sz w:val="24"/>
          <w:szCs w:val="24"/>
          <w:lang w:eastAsia="zh-CN"/>
        </w:rPr>
        <w:t>的有效期内；</w:t>
      </w:r>
    </w:p>
    <w:p w14:paraId="3AA1DC2C">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（2）</w:t>
      </w:r>
      <w:r>
        <w:rPr>
          <w:rFonts w:ascii="Times New Roman" w:hAnsi="Times New Roman" w:eastAsia="宋体" w:cs="Times New Roman"/>
          <w:snapToGrid/>
          <w:sz w:val="24"/>
          <w:szCs w:val="24"/>
          <w:lang w:eastAsia="zh-CN"/>
        </w:rPr>
        <w:t>载明要求支付的金额；</w:t>
      </w:r>
    </w:p>
    <w:p w14:paraId="6E8860F8">
      <w:pPr>
        <w:widowControl w:val="0"/>
        <w:tabs>
          <w:tab w:val="left" w:pos="1560"/>
        </w:tabs>
        <w:kinsoku/>
        <w:autoSpaceDE/>
        <w:autoSpaceDN/>
        <w:adjustRightInd/>
        <w:snapToGrid/>
        <w:spacing w:line="440" w:lineRule="exact"/>
        <w:ind w:firstLine="240" w:firstLineChars="100"/>
        <w:jc w:val="both"/>
        <w:rPr>
          <w:rFonts w:ascii="Times New Roman" w:hAnsi="Times New Roman" w:eastAsia="宋体" w:cs="Times New Roman"/>
          <w:b/>
          <w:snapToGrid/>
          <w:sz w:val="24"/>
          <w:szCs w:val="24"/>
          <w:lang w:eastAsia="zh-CN"/>
        </w:rPr>
      </w:pPr>
      <w:r>
        <w:rPr>
          <w:rFonts w:hint="eastAsia" w:ascii="Times New Roman" w:hAnsi="Times New Roman" w:eastAsia="宋体" w:cs="Times New Roman"/>
          <w:snapToGrid/>
          <w:sz w:val="24"/>
          <w:szCs w:val="24"/>
          <w:lang w:eastAsia="zh-CN"/>
        </w:rPr>
        <w:t>（3）</w:t>
      </w:r>
      <w:r>
        <w:rPr>
          <w:rFonts w:ascii="Times New Roman" w:hAnsi="Times New Roman" w:eastAsia="宋体" w:cs="Times New Roman"/>
          <w:b/>
          <w:snapToGrid/>
          <w:sz w:val="24"/>
          <w:szCs w:val="24"/>
          <w:lang w:eastAsia="zh-CN"/>
        </w:rPr>
        <w:t>载明申请人</w:t>
      </w:r>
      <w:r>
        <w:rPr>
          <w:rFonts w:hint="eastAsia" w:ascii="Times New Roman" w:hAnsi="Times New Roman" w:eastAsia="宋体" w:cs="Times New Roman"/>
          <w:b/>
          <w:snapToGrid/>
          <w:sz w:val="24"/>
          <w:szCs w:val="24"/>
          <w:lang w:eastAsia="zh-CN"/>
        </w:rPr>
        <w:t>（即投标人）</w:t>
      </w:r>
      <w:r>
        <w:rPr>
          <w:rFonts w:ascii="Times New Roman" w:hAnsi="Times New Roman" w:eastAsia="宋体" w:cs="Times New Roman"/>
          <w:b/>
          <w:snapToGrid/>
          <w:sz w:val="24"/>
          <w:szCs w:val="24"/>
          <w:lang w:eastAsia="zh-CN"/>
        </w:rPr>
        <w:t>违反</w:t>
      </w:r>
      <w:r>
        <w:rPr>
          <w:rFonts w:hint="eastAsia" w:ascii="Times New Roman" w:hAnsi="Times New Roman" w:eastAsia="宋体" w:cs="Times New Roman"/>
          <w:b/>
          <w:snapToGrid/>
          <w:sz w:val="24"/>
          <w:szCs w:val="24"/>
          <w:lang w:eastAsia="zh-CN"/>
        </w:rPr>
        <w:t>法律法规或者</w:t>
      </w:r>
      <w:r>
        <w:rPr>
          <w:rFonts w:ascii="Times New Roman" w:hAnsi="Times New Roman" w:eastAsia="宋体" w:cs="Times New Roman"/>
          <w:b/>
          <w:snapToGrid/>
          <w:sz w:val="24"/>
          <w:szCs w:val="24"/>
          <w:lang w:eastAsia="zh-CN"/>
        </w:rPr>
        <w:t>招标文件</w:t>
      </w:r>
      <w:r>
        <w:rPr>
          <w:rFonts w:hint="eastAsia" w:ascii="Times New Roman" w:hAnsi="Times New Roman" w:eastAsia="宋体" w:cs="Times New Roman"/>
          <w:b/>
          <w:snapToGrid/>
          <w:sz w:val="24"/>
          <w:szCs w:val="24"/>
          <w:lang w:eastAsia="zh-CN"/>
        </w:rPr>
        <w:t>约</w:t>
      </w:r>
      <w:r>
        <w:rPr>
          <w:rFonts w:ascii="Times New Roman" w:hAnsi="Times New Roman" w:eastAsia="宋体" w:cs="Times New Roman"/>
          <w:b/>
          <w:snapToGrid/>
          <w:sz w:val="24"/>
          <w:szCs w:val="24"/>
          <w:lang w:eastAsia="zh-CN"/>
        </w:rPr>
        <w:t>定</w:t>
      </w:r>
      <w:r>
        <w:rPr>
          <w:rFonts w:hint="eastAsia" w:ascii="Times New Roman" w:hAnsi="Times New Roman" w:eastAsia="宋体" w:cs="Times New Roman"/>
          <w:b/>
          <w:snapToGrid/>
          <w:sz w:val="24"/>
          <w:szCs w:val="24"/>
          <w:lang w:eastAsia="zh-CN"/>
        </w:rPr>
        <w:t>或者投标文件承诺</w:t>
      </w:r>
      <w:r>
        <w:rPr>
          <w:rFonts w:ascii="Times New Roman" w:hAnsi="Times New Roman" w:eastAsia="宋体" w:cs="Times New Roman"/>
          <w:b/>
          <w:snapToGrid/>
          <w:sz w:val="24"/>
          <w:szCs w:val="24"/>
          <w:lang w:eastAsia="zh-CN"/>
        </w:rPr>
        <w:t>的义务内容和具体条款</w:t>
      </w:r>
      <w:r>
        <w:rPr>
          <w:rFonts w:hint="eastAsia" w:ascii="Times New Roman" w:hAnsi="Times New Roman" w:eastAsia="宋体" w:cs="Times New Roman"/>
          <w:b/>
          <w:snapToGrid/>
          <w:sz w:val="24"/>
          <w:szCs w:val="24"/>
          <w:lang w:eastAsia="zh-CN"/>
        </w:rPr>
        <w:t>；</w:t>
      </w:r>
    </w:p>
    <w:p w14:paraId="00FCF3E6">
      <w:pPr>
        <w:widowControl w:val="0"/>
        <w:tabs>
          <w:tab w:val="left" w:pos="1560"/>
          <w:tab w:val="left" w:pos="8158"/>
        </w:tabs>
        <w:kinsoku/>
        <w:autoSpaceDE/>
        <w:autoSpaceDN/>
        <w:adjustRightInd/>
        <w:snapToGrid/>
        <w:spacing w:line="440" w:lineRule="exact"/>
        <w:ind w:firstLine="240" w:firstLineChars="100"/>
        <w:jc w:val="both"/>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（4）</w:t>
      </w:r>
      <w:r>
        <w:rPr>
          <w:rFonts w:ascii="Times New Roman" w:hAnsi="Times New Roman" w:eastAsia="宋体" w:cs="Times New Roman"/>
          <w:snapToGrid/>
          <w:sz w:val="24"/>
          <w:szCs w:val="24"/>
          <w:lang w:eastAsia="zh-CN"/>
        </w:rPr>
        <w:t>书面付款通知应在本</w:t>
      </w:r>
      <w:r>
        <w:rPr>
          <w:rFonts w:hint="eastAsia" w:ascii="Times New Roman" w:hAnsi="Times New Roman" w:eastAsia="宋体" w:cs="Times New Roman"/>
          <w:snapToGrid/>
          <w:sz w:val="24"/>
          <w:szCs w:val="24"/>
          <w:lang w:eastAsia="zh-CN"/>
        </w:rPr>
        <w:t>保险</w:t>
      </w:r>
      <w:r>
        <w:rPr>
          <w:rFonts w:ascii="Times New Roman" w:hAnsi="Times New Roman" w:eastAsia="宋体" w:cs="Times New Roman"/>
          <w:snapToGrid/>
          <w:sz w:val="24"/>
          <w:szCs w:val="24"/>
          <w:lang w:eastAsia="zh-CN"/>
        </w:rPr>
        <w:t>有效期内到达的地址是：</w:t>
      </w:r>
      <w:r>
        <w:rPr>
          <w:rFonts w:ascii="Times New Roman" w:hAnsi="Times New Roman" w:eastAsia="宋体" w:cs="Times New Roman"/>
          <w:snapToGrid/>
          <w:sz w:val="24"/>
          <w:szCs w:val="24"/>
          <w:u w:val="single" w:color="000000"/>
          <w:lang w:eastAsia="zh-CN"/>
        </w:rPr>
        <w:tab/>
      </w:r>
      <w:r>
        <w:rPr>
          <w:rFonts w:ascii="Times New Roman" w:hAnsi="Times New Roman" w:eastAsia="宋体" w:cs="Times New Roman"/>
          <w:snapToGrid/>
          <w:sz w:val="24"/>
          <w:szCs w:val="24"/>
          <w:lang w:eastAsia="zh-CN"/>
        </w:rPr>
        <w:t>。</w:t>
      </w:r>
    </w:p>
    <w:p w14:paraId="03255DF4">
      <w:pPr>
        <w:widowControl w:val="0"/>
        <w:kinsoku/>
        <w:autoSpaceDE/>
        <w:autoSpaceDN/>
        <w:adjustRightInd/>
        <w:snapToGrid/>
        <w:spacing w:line="440" w:lineRule="exact"/>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招标人发出的书面付款通知应由其为鉴明招标人法定代表人（负责人）或授权代理人签字并加盖公章。</w:t>
      </w:r>
    </w:p>
    <w:p w14:paraId="4B92113D">
      <w:pPr>
        <w:widowControl w:val="0"/>
        <w:kinsoku/>
        <w:autoSpaceDE/>
        <w:autoSpaceDN/>
        <w:adjustRightInd/>
        <w:snapToGrid/>
        <w:spacing w:line="440" w:lineRule="exact"/>
        <w:ind w:firstLine="452"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7"/>
          <w:sz w:val="24"/>
          <w:szCs w:val="24"/>
          <w:lang w:eastAsia="zh-CN"/>
        </w:rPr>
        <w:t>五、本</w:t>
      </w:r>
      <w:r>
        <w:rPr>
          <w:rFonts w:hint="eastAsia" w:ascii="宋体" w:hAnsi="Times New Roman" w:eastAsia="宋体" w:cs="Times New Roman"/>
          <w:snapToGrid/>
          <w:spacing w:val="-7"/>
          <w:sz w:val="24"/>
          <w:szCs w:val="24"/>
          <w:lang w:eastAsia="zh-CN"/>
        </w:rPr>
        <w:t>保险</w:t>
      </w:r>
      <w:r>
        <w:rPr>
          <w:rFonts w:ascii="宋体" w:hAnsi="Times New Roman" w:eastAsia="宋体" w:cs="Times New Roman"/>
          <w:snapToGrid/>
          <w:spacing w:val="-7"/>
          <w:sz w:val="24"/>
          <w:szCs w:val="24"/>
          <w:lang w:eastAsia="zh-CN"/>
        </w:rPr>
        <w:t>项下的权利不得转让，不得设定担保。贵方未经我方书面同意转让本</w:t>
      </w:r>
      <w:r>
        <w:rPr>
          <w:rFonts w:hint="eastAsia" w:ascii="宋体" w:hAnsi="Times New Roman" w:eastAsia="宋体" w:cs="Times New Roman"/>
          <w:snapToGrid/>
          <w:spacing w:val="-7"/>
          <w:sz w:val="24"/>
          <w:szCs w:val="24"/>
          <w:lang w:eastAsia="zh-CN"/>
        </w:rPr>
        <w:t>保险</w:t>
      </w:r>
      <w:r>
        <w:rPr>
          <w:rFonts w:ascii="宋体" w:hAnsi="Times New Roman" w:eastAsia="宋体" w:cs="Times New Roman"/>
          <w:snapToGrid/>
          <w:sz w:val="24"/>
          <w:szCs w:val="24"/>
          <w:lang w:eastAsia="zh-CN"/>
        </w:rPr>
        <w:t>或其项下任何权利，对我方不发生法律效力。</w:t>
      </w:r>
    </w:p>
    <w:p w14:paraId="3DAC2DF5">
      <w:pPr>
        <w:widowControl w:val="0"/>
        <w:kinsoku/>
        <w:autoSpaceDE/>
        <w:autoSpaceDN/>
        <w:adjustRightInd/>
        <w:snapToGrid/>
        <w:spacing w:line="440" w:lineRule="exact"/>
        <w:ind w:firstLine="444"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9"/>
          <w:sz w:val="24"/>
          <w:szCs w:val="24"/>
          <w:lang w:eastAsia="zh-CN"/>
        </w:rPr>
        <w:t>六、本</w:t>
      </w:r>
      <w:r>
        <w:rPr>
          <w:rFonts w:hint="eastAsia" w:ascii="宋体" w:hAnsi="Times New Roman" w:eastAsia="宋体" w:cs="Times New Roman"/>
          <w:snapToGrid/>
          <w:spacing w:val="-9"/>
          <w:sz w:val="24"/>
          <w:szCs w:val="24"/>
          <w:lang w:eastAsia="zh-CN"/>
        </w:rPr>
        <w:t>保险</w:t>
      </w:r>
      <w:r>
        <w:rPr>
          <w:rFonts w:ascii="宋体" w:hAnsi="Times New Roman" w:eastAsia="宋体" w:cs="Times New Roman"/>
          <w:snapToGrid/>
          <w:spacing w:val="-9"/>
          <w:sz w:val="24"/>
          <w:szCs w:val="24"/>
          <w:lang w:eastAsia="zh-CN"/>
        </w:rPr>
        <w:t>项下的</w:t>
      </w:r>
      <w:r>
        <w:rPr>
          <w:rFonts w:ascii="宋体" w:hAnsi="Times New Roman" w:eastAsia="宋体" w:cs="Times New Roman"/>
          <w:b/>
          <w:snapToGrid/>
          <w:spacing w:val="-9"/>
          <w:sz w:val="24"/>
          <w:szCs w:val="24"/>
          <w:lang w:eastAsia="zh-CN"/>
        </w:rPr>
        <w:t>基础交易</w:t>
      </w:r>
      <w:r>
        <w:rPr>
          <w:rFonts w:ascii="宋体" w:hAnsi="Times New Roman" w:eastAsia="宋体" w:cs="Times New Roman"/>
          <w:snapToGrid/>
          <w:spacing w:val="-9"/>
          <w:sz w:val="24"/>
          <w:szCs w:val="24"/>
          <w:lang w:eastAsia="zh-CN"/>
        </w:rPr>
        <w:t>不成立、不生效、无效、被撤销、被解除，不影响本保</w:t>
      </w:r>
      <w:r>
        <w:rPr>
          <w:rFonts w:hint="eastAsia" w:ascii="宋体" w:hAnsi="Times New Roman" w:eastAsia="宋体" w:cs="Times New Roman"/>
          <w:snapToGrid/>
          <w:sz w:val="24"/>
          <w:szCs w:val="24"/>
          <w:lang w:eastAsia="zh-CN"/>
        </w:rPr>
        <w:t>险</w:t>
      </w:r>
      <w:r>
        <w:rPr>
          <w:rFonts w:ascii="宋体" w:hAnsi="Times New Roman" w:eastAsia="宋体" w:cs="Times New Roman"/>
          <w:snapToGrid/>
          <w:sz w:val="24"/>
          <w:szCs w:val="24"/>
          <w:lang w:eastAsia="zh-CN"/>
        </w:rPr>
        <w:t>的独立有效</w:t>
      </w:r>
      <w:r>
        <w:rPr>
          <w:rFonts w:hint="eastAsia" w:ascii="宋体" w:hAnsi="Times New Roman" w:eastAsia="宋体" w:cs="Times New Roman"/>
          <w:snapToGrid/>
          <w:sz w:val="24"/>
          <w:szCs w:val="24"/>
          <w:lang w:eastAsia="zh-CN"/>
        </w:rPr>
        <w:t>，</w:t>
      </w:r>
      <w:r>
        <w:rPr>
          <w:rFonts w:ascii="宋体" w:hAnsi="Times New Roman" w:eastAsia="宋体" w:cs="Times New Roman"/>
          <w:snapToGrid/>
          <w:sz w:val="24"/>
          <w:szCs w:val="24"/>
          <w:lang w:eastAsia="zh-CN"/>
        </w:rPr>
        <w:t>不影响开立人</w:t>
      </w:r>
      <w:r>
        <w:rPr>
          <w:rFonts w:hint="eastAsia" w:ascii="宋体" w:hAnsi="Times New Roman" w:eastAsia="宋体" w:cs="Times New Roman"/>
          <w:snapToGrid/>
          <w:sz w:val="24"/>
          <w:szCs w:val="24"/>
          <w:lang w:eastAsia="zh-CN"/>
        </w:rPr>
        <w:t>履行</w:t>
      </w:r>
      <w:r>
        <w:rPr>
          <w:rFonts w:ascii="宋体" w:hAnsi="Times New Roman" w:eastAsia="宋体" w:cs="Times New Roman"/>
          <w:snapToGrid/>
          <w:sz w:val="24"/>
          <w:szCs w:val="24"/>
          <w:lang w:eastAsia="zh-CN"/>
        </w:rPr>
        <w:t>见索即付</w:t>
      </w:r>
      <w:r>
        <w:rPr>
          <w:rFonts w:hint="eastAsia" w:ascii="宋体" w:hAnsi="Times New Roman" w:eastAsia="宋体" w:cs="Times New Roman"/>
          <w:snapToGrid/>
          <w:sz w:val="24"/>
          <w:szCs w:val="24"/>
          <w:lang w:eastAsia="zh-CN"/>
        </w:rPr>
        <w:t>义务</w:t>
      </w:r>
      <w:r>
        <w:rPr>
          <w:rFonts w:ascii="宋体" w:hAnsi="Times New Roman" w:eastAsia="宋体" w:cs="Times New Roman"/>
          <w:snapToGrid/>
          <w:sz w:val="24"/>
          <w:szCs w:val="24"/>
          <w:lang w:eastAsia="zh-CN"/>
        </w:rPr>
        <w:t>的责任。</w:t>
      </w:r>
    </w:p>
    <w:p w14:paraId="116BE49A">
      <w:pPr>
        <w:widowControl w:val="0"/>
        <w:kinsoku/>
        <w:autoSpaceDE/>
        <w:autoSpaceDN/>
        <w:adjustRightInd/>
        <w:snapToGrid/>
        <w:spacing w:line="440" w:lineRule="exact"/>
        <w:ind w:firstLine="448"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8"/>
          <w:sz w:val="24"/>
          <w:szCs w:val="24"/>
          <w:lang w:eastAsia="zh-CN"/>
        </w:rPr>
        <w:t>七、招标人应在本保</w:t>
      </w:r>
      <w:r>
        <w:rPr>
          <w:rFonts w:hint="eastAsia" w:ascii="宋体" w:hAnsi="Times New Roman" w:eastAsia="宋体" w:cs="Times New Roman"/>
          <w:snapToGrid/>
          <w:spacing w:val="-8"/>
          <w:sz w:val="24"/>
          <w:szCs w:val="24"/>
          <w:lang w:eastAsia="zh-CN"/>
        </w:rPr>
        <w:t>险</w:t>
      </w:r>
      <w:r>
        <w:rPr>
          <w:rFonts w:ascii="宋体" w:hAnsi="Times New Roman" w:eastAsia="宋体" w:cs="Times New Roman"/>
          <w:snapToGrid/>
          <w:spacing w:val="-8"/>
          <w:sz w:val="24"/>
          <w:szCs w:val="24"/>
          <w:lang w:eastAsia="zh-CN"/>
        </w:rPr>
        <w:t>到期后的七日内将本</w:t>
      </w:r>
      <w:r>
        <w:rPr>
          <w:rFonts w:hint="eastAsia" w:ascii="宋体" w:hAnsi="Times New Roman" w:eastAsia="宋体" w:cs="Times New Roman"/>
          <w:snapToGrid/>
          <w:spacing w:val="-8"/>
          <w:sz w:val="24"/>
          <w:szCs w:val="24"/>
          <w:lang w:eastAsia="zh-CN"/>
        </w:rPr>
        <w:t>保险</w:t>
      </w:r>
      <w:r>
        <w:rPr>
          <w:rFonts w:ascii="宋体" w:hAnsi="Times New Roman" w:eastAsia="宋体" w:cs="Times New Roman"/>
          <w:snapToGrid/>
          <w:spacing w:val="-8"/>
          <w:sz w:val="24"/>
          <w:szCs w:val="24"/>
          <w:lang w:eastAsia="zh-CN"/>
        </w:rPr>
        <w:t>正本退回我方注销，但是不论招标</w:t>
      </w:r>
      <w:r>
        <w:rPr>
          <w:rFonts w:ascii="宋体" w:hAnsi="Times New Roman" w:eastAsia="宋体" w:cs="Times New Roman"/>
          <w:snapToGrid/>
          <w:spacing w:val="-4"/>
          <w:sz w:val="24"/>
          <w:szCs w:val="24"/>
          <w:lang w:eastAsia="zh-CN"/>
        </w:rPr>
        <w:t>人是否按此要求将本</w:t>
      </w:r>
      <w:r>
        <w:rPr>
          <w:rFonts w:hint="eastAsia" w:ascii="宋体" w:hAnsi="Times New Roman" w:eastAsia="宋体" w:cs="Times New Roman"/>
          <w:snapToGrid/>
          <w:spacing w:val="-4"/>
          <w:sz w:val="24"/>
          <w:szCs w:val="24"/>
          <w:lang w:eastAsia="zh-CN"/>
        </w:rPr>
        <w:t>保险</w:t>
      </w:r>
      <w:r>
        <w:rPr>
          <w:rFonts w:ascii="宋体" w:hAnsi="Times New Roman" w:eastAsia="宋体" w:cs="Times New Roman"/>
          <w:snapToGrid/>
          <w:spacing w:val="-4"/>
          <w:sz w:val="24"/>
          <w:szCs w:val="24"/>
          <w:lang w:eastAsia="zh-CN"/>
        </w:rPr>
        <w:t>正本退回我方，我方在本</w:t>
      </w:r>
      <w:r>
        <w:rPr>
          <w:rFonts w:hint="eastAsia" w:ascii="宋体" w:hAnsi="Times New Roman" w:eastAsia="宋体" w:cs="Times New Roman"/>
          <w:snapToGrid/>
          <w:spacing w:val="-4"/>
          <w:sz w:val="24"/>
          <w:szCs w:val="24"/>
          <w:lang w:eastAsia="zh-CN"/>
        </w:rPr>
        <w:t>保险</w:t>
      </w:r>
      <w:r>
        <w:rPr>
          <w:rFonts w:ascii="宋体" w:hAnsi="Times New Roman" w:eastAsia="宋体" w:cs="Times New Roman"/>
          <w:snapToGrid/>
          <w:spacing w:val="-4"/>
          <w:sz w:val="24"/>
          <w:szCs w:val="24"/>
          <w:lang w:eastAsia="zh-CN"/>
        </w:rPr>
        <w:t>项下的义务和责任均在</w:t>
      </w:r>
      <w:r>
        <w:rPr>
          <w:rFonts w:hint="eastAsia" w:ascii="宋体" w:hAnsi="Times New Roman" w:eastAsia="宋体" w:cs="Times New Roman"/>
          <w:snapToGrid/>
          <w:spacing w:val="-4"/>
          <w:sz w:val="24"/>
          <w:szCs w:val="24"/>
          <w:lang w:eastAsia="zh-CN"/>
        </w:rPr>
        <w:t>本</w:t>
      </w:r>
      <w:r>
        <w:rPr>
          <w:rFonts w:ascii="宋体" w:hAnsi="Times New Roman" w:eastAsia="宋体" w:cs="Times New Roman"/>
          <w:snapToGrid/>
          <w:spacing w:val="-4"/>
          <w:sz w:val="24"/>
          <w:szCs w:val="24"/>
          <w:lang w:eastAsia="zh-CN"/>
        </w:rPr>
        <w:t>保</w:t>
      </w:r>
      <w:r>
        <w:rPr>
          <w:rFonts w:hint="eastAsia" w:ascii="宋体" w:hAnsi="Times New Roman" w:eastAsia="宋体" w:cs="Times New Roman"/>
          <w:snapToGrid/>
          <w:spacing w:val="-4"/>
          <w:sz w:val="24"/>
          <w:szCs w:val="24"/>
          <w:lang w:eastAsia="zh-CN"/>
        </w:rPr>
        <w:t>险</w:t>
      </w:r>
      <w:r>
        <w:rPr>
          <w:rFonts w:ascii="宋体" w:hAnsi="Times New Roman" w:eastAsia="宋体" w:cs="Times New Roman"/>
          <w:snapToGrid/>
          <w:spacing w:val="-4"/>
          <w:sz w:val="24"/>
          <w:szCs w:val="24"/>
          <w:lang w:eastAsia="zh-CN"/>
        </w:rPr>
        <w:t>有效</w:t>
      </w:r>
      <w:r>
        <w:rPr>
          <w:rFonts w:ascii="宋体" w:hAnsi="Times New Roman" w:eastAsia="宋体" w:cs="Times New Roman"/>
          <w:snapToGrid/>
          <w:sz w:val="24"/>
          <w:szCs w:val="24"/>
          <w:lang w:eastAsia="zh-CN"/>
        </w:rPr>
        <w:t>期到期后自动消灭</w:t>
      </w:r>
      <w:r>
        <w:rPr>
          <w:rFonts w:hint="eastAsia" w:ascii="宋体" w:hAnsi="Times New Roman" w:eastAsia="宋体" w:cs="Times New Roman"/>
          <w:snapToGrid/>
          <w:sz w:val="24"/>
          <w:szCs w:val="24"/>
          <w:lang w:eastAsia="zh-CN"/>
        </w:rPr>
        <w:t>，</w:t>
      </w:r>
      <w:r>
        <w:rPr>
          <w:rFonts w:ascii="宋体" w:hAnsi="Times New Roman" w:eastAsia="宋体" w:cs="Times New Roman"/>
          <w:snapToGrid/>
          <w:sz w:val="24"/>
          <w:szCs w:val="24"/>
          <w:lang w:eastAsia="zh-CN"/>
        </w:rPr>
        <w:t>但</w:t>
      </w:r>
      <w:r>
        <w:rPr>
          <w:rFonts w:hint="eastAsia" w:ascii="宋体" w:hAnsi="Times New Roman" w:eastAsia="宋体" w:cs="Times New Roman"/>
          <w:snapToGrid/>
          <w:sz w:val="24"/>
          <w:szCs w:val="24"/>
          <w:lang w:eastAsia="zh-CN"/>
        </w:rPr>
        <w:t>因</w:t>
      </w:r>
      <w:r>
        <w:rPr>
          <w:rFonts w:ascii="宋体" w:hAnsi="Times New Roman" w:eastAsia="宋体" w:cs="Times New Roman"/>
          <w:snapToGrid/>
          <w:sz w:val="24"/>
          <w:szCs w:val="24"/>
          <w:lang w:eastAsia="zh-CN"/>
        </w:rPr>
        <w:t>异议、投诉、立案处理的，本</w:t>
      </w:r>
      <w:r>
        <w:rPr>
          <w:rFonts w:hint="eastAsia" w:ascii="宋体" w:hAnsi="Times New Roman" w:eastAsia="宋体" w:cs="Times New Roman"/>
          <w:snapToGrid/>
          <w:sz w:val="24"/>
          <w:szCs w:val="24"/>
          <w:lang w:eastAsia="zh-CN"/>
        </w:rPr>
        <w:t>保险</w:t>
      </w:r>
      <w:r>
        <w:rPr>
          <w:rFonts w:ascii="宋体" w:hAnsi="Times New Roman" w:eastAsia="宋体" w:cs="Times New Roman"/>
          <w:snapToGrid/>
          <w:sz w:val="24"/>
          <w:szCs w:val="24"/>
          <w:lang w:eastAsia="zh-CN"/>
        </w:rPr>
        <w:t>有效期将顺延到案件处理完毕之日后再顺延七日。</w:t>
      </w:r>
    </w:p>
    <w:p w14:paraId="732D9E31">
      <w:pPr>
        <w:widowControl w:val="0"/>
        <w:tabs>
          <w:tab w:val="left" w:pos="1318"/>
        </w:tabs>
        <w:kinsoku/>
        <w:autoSpaceDE/>
        <w:autoSpaceDN/>
        <w:adjustRightInd/>
        <w:snapToGrid/>
        <w:spacing w:line="440" w:lineRule="exact"/>
        <w:ind w:firstLine="496"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pacing w:val="4"/>
          <w:sz w:val="24"/>
          <w:szCs w:val="24"/>
          <w:lang w:eastAsia="zh-CN"/>
        </w:rPr>
        <w:t>八、本</w:t>
      </w:r>
      <w:r>
        <w:rPr>
          <w:rFonts w:hint="eastAsia" w:ascii="宋体" w:hAnsi="Times New Roman" w:eastAsia="宋体" w:cs="Times New Roman"/>
          <w:snapToGrid/>
          <w:spacing w:val="7"/>
          <w:sz w:val="24"/>
          <w:szCs w:val="24"/>
          <w:lang w:eastAsia="zh-CN"/>
        </w:rPr>
        <w:t>保险</w:t>
      </w:r>
      <w:r>
        <w:rPr>
          <w:rFonts w:ascii="宋体" w:hAnsi="Times New Roman" w:eastAsia="宋体" w:cs="Times New Roman"/>
          <w:snapToGrid/>
          <w:spacing w:val="4"/>
          <w:sz w:val="24"/>
          <w:szCs w:val="24"/>
          <w:lang w:eastAsia="zh-CN"/>
        </w:rPr>
        <w:t>适</w:t>
      </w:r>
      <w:r>
        <w:rPr>
          <w:rFonts w:ascii="宋体" w:hAnsi="Times New Roman" w:eastAsia="宋体" w:cs="Times New Roman"/>
          <w:snapToGrid/>
          <w:spacing w:val="7"/>
          <w:sz w:val="24"/>
          <w:szCs w:val="24"/>
          <w:lang w:eastAsia="zh-CN"/>
        </w:rPr>
        <w:t>用</w:t>
      </w:r>
      <w:r>
        <w:rPr>
          <w:rFonts w:ascii="宋体" w:hAnsi="Times New Roman" w:eastAsia="宋体" w:cs="Times New Roman"/>
          <w:snapToGrid/>
          <w:spacing w:val="4"/>
          <w:sz w:val="24"/>
          <w:szCs w:val="24"/>
          <w:lang w:eastAsia="zh-CN"/>
        </w:rPr>
        <w:t>的法</w:t>
      </w:r>
      <w:r>
        <w:rPr>
          <w:rFonts w:ascii="宋体" w:hAnsi="Times New Roman" w:eastAsia="宋体" w:cs="Times New Roman"/>
          <w:snapToGrid/>
          <w:spacing w:val="7"/>
          <w:sz w:val="24"/>
          <w:szCs w:val="24"/>
          <w:lang w:eastAsia="zh-CN"/>
        </w:rPr>
        <w:t>律</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pacing w:val="4"/>
          <w:sz w:val="24"/>
          <w:szCs w:val="24"/>
          <w:lang w:eastAsia="zh-CN"/>
        </w:rPr>
        <w:t>和国</w:t>
      </w:r>
      <w:r>
        <w:rPr>
          <w:rFonts w:ascii="宋体" w:hAnsi="Times New Roman" w:eastAsia="宋体" w:cs="Times New Roman"/>
          <w:snapToGrid/>
          <w:spacing w:val="7"/>
          <w:sz w:val="24"/>
          <w:szCs w:val="24"/>
          <w:lang w:eastAsia="zh-CN"/>
        </w:rPr>
        <w:t>法</w:t>
      </w:r>
      <w:r>
        <w:rPr>
          <w:rFonts w:ascii="宋体" w:hAnsi="Times New Roman" w:eastAsia="宋体" w:cs="Times New Roman"/>
          <w:snapToGrid/>
          <w:spacing w:val="4"/>
          <w:sz w:val="24"/>
          <w:szCs w:val="24"/>
          <w:lang w:eastAsia="zh-CN"/>
        </w:rPr>
        <w:t>律，</w:t>
      </w:r>
      <w:r>
        <w:rPr>
          <w:rFonts w:ascii="宋体" w:hAnsi="Times New Roman" w:eastAsia="宋体" w:cs="Times New Roman"/>
          <w:snapToGrid/>
          <w:spacing w:val="7"/>
          <w:sz w:val="24"/>
          <w:szCs w:val="24"/>
          <w:lang w:eastAsia="zh-CN"/>
        </w:rPr>
        <w:t>争</w:t>
      </w:r>
      <w:r>
        <w:rPr>
          <w:rFonts w:ascii="宋体" w:hAnsi="Times New Roman" w:eastAsia="宋体" w:cs="Times New Roman"/>
          <w:snapToGrid/>
          <w:spacing w:val="4"/>
          <w:sz w:val="24"/>
          <w:szCs w:val="24"/>
          <w:lang w:eastAsia="zh-CN"/>
        </w:rPr>
        <w:t>议裁</w:t>
      </w:r>
      <w:r>
        <w:rPr>
          <w:rFonts w:ascii="宋体" w:hAnsi="Times New Roman" w:eastAsia="宋体" w:cs="Times New Roman"/>
          <w:snapToGrid/>
          <w:spacing w:val="7"/>
          <w:sz w:val="24"/>
          <w:szCs w:val="24"/>
          <w:lang w:eastAsia="zh-CN"/>
        </w:rPr>
        <w:t>判</w:t>
      </w:r>
      <w:r>
        <w:rPr>
          <w:rFonts w:ascii="宋体" w:hAnsi="Times New Roman" w:eastAsia="宋体" w:cs="Times New Roman"/>
          <w:snapToGrid/>
          <w:spacing w:val="4"/>
          <w:sz w:val="24"/>
          <w:szCs w:val="24"/>
          <w:lang w:eastAsia="zh-CN"/>
        </w:rPr>
        <w:t>管辖</w:t>
      </w:r>
      <w:r>
        <w:rPr>
          <w:rFonts w:ascii="宋体" w:hAnsi="Times New Roman" w:eastAsia="宋体" w:cs="Times New Roman"/>
          <w:snapToGrid/>
          <w:spacing w:val="7"/>
          <w:sz w:val="24"/>
          <w:szCs w:val="24"/>
          <w:lang w:eastAsia="zh-CN"/>
        </w:rPr>
        <w:t>地</w:t>
      </w:r>
      <w:r>
        <w:rPr>
          <w:rFonts w:ascii="宋体" w:hAnsi="Times New Roman" w:eastAsia="宋体" w:cs="Times New Roman"/>
          <w:snapToGrid/>
          <w:spacing w:val="4"/>
          <w:sz w:val="24"/>
          <w:szCs w:val="24"/>
          <w:lang w:eastAsia="zh-CN"/>
        </w:rPr>
        <w:t>为中</w:t>
      </w:r>
      <w:r>
        <w:rPr>
          <w:rFonts w:ascii="宋体" w:hAnsi="Times New Roman" w:eastAsia="宋体" w:cs="Times New Roman"/>
          <w:snapToGrid/>
          <w:spacing w:val="7"/>
          <w:sz w:val="24"/>
          <w:szCs w:val="24"/>
          <w:lang w:eastAsia="zh-CN"/>
        </w:rPr>
        <w:t>华</w:t>
      </w:r>
      <w:r>
        <w:rPr>
          <w:rFonts w:ascii="宋体" w:hAnsi="Times New Roman" w:eastAsia="宋体" w:cs="Times New Roman"/>
          <w:snapToGrid/>
          <w:spacing w:val="4"/>
          <w:sz w:val="24"/>
          <w:szCs w:val="24"/>
          <w:lang w:eastAsia="zh-CN"/>
        </w:rPr>
        <w:t>人民</w:t>
      </w:r>
      <w:r>
        <w:rPr>
          <w:rFonts w:ascii="宋体" w:hAnsi="Times New Roman" w:eastAsia="宋体" w:cs="Times New Roman"/>
          <w:snapToGrid/>
          <w:spacing w:val="7"/>
          <w:sz w:val="24"/>
          <w:szCs w:val="24"/>
          <w:lang w:eastAsia="zh-CN"/>
        </w:rPr>
        <w:t>共</w:t>
      </w:r>
      <w:r>
        <w:rPr>
          <w:rFonts w:ascii="宋体" w:hAnsi="Times New Roman" w:eastAsia="宋体" w:cs="Times New Roman"/>
          <w:snapToGrid/>
          <w:sz w:val="24"/>
          <w:szCs w:val="24"/>
          <w:lang w:eastAsia="zh-CN"/>
        </w:rPr>
        <w:t>和国</w:t>
      </w:r>
      <w:r>
        <w:rPr>
          <w:rFonts w:hint="eastAsia" w:ascii="宋体" w:hAnsi="Times New Roman" w:eastAsia="宋体" w:cs="Times New Roman"/>
          <w:snapToGrid/>
          <w:sz w:val="24"/>
          <w:szCs w:val="24"/>
          <w:lang w:eastAsia="zh-CN"/>
        </w:rPr>
        <w:t>。</w:t>
      </w:r>
    </w:p>
    <w:p w14:paraId="381AAB1F">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九、本</w:t>
      </w:r>
      <w:r>
        <w:rPr>
          <w:rFonts w:hint="eastAsia" w:ascii="宋体" w:hAnsi="Times New Roman" w:eastAsia="宋体" w:cs="Times New Roman"/>
          <w:snapToGrid/>
          <w:sz w:val="24"/>
          <w:szCs w:val="24"/>
          <w:lang w:eastAsia="zh-CN"/>
        </w:rPr>
        <w:t>保险</w:t>
      </w:r>
      <w:r>
        <w:rPr>
          <w:rFonts w:ascii="宋体" w:hAnsi="Times New Roman" w:eastAsia="宋体" w:cs="Times New Roman"/>
          <w:snapToGrid/>
          <w:sz w:val="24"/>
          <w:szCs w:val="24"/>
          <w:lang w:eastAsia="zh-CN"/>
        </w:rPr>
        <w:t>自我方法定代表人或授权代表签字并加盖公章之日起生效</w:t>
      </w:r>
      <w:r>
        <w:rPr>
          <w:rFonts w:ascii="宋体" w:hAnsi="Times New Roman" w:eastAsia="宋体" w:cs="Times New Roman"/>
          <w:snapToGrid/>
          <w:spacing w:val="-17"/>
          <w:sz w:val="24"/>
          <w:szCs w:val="24"/>
          <w:lang w:eastAsia="zh-CN"/>
        </w:rPr>
        <w:t>。</w:t>
      </w:r>
    </w:p>
    <w:p w14:paraId="72239EB3">
      <w:pPr>
        <w:widowControl w:val="0"/>
        <w:tabs>
          <w:tab w:val="left" w:pos="7438"/>
        </w:tabs>
        <w:kinsoku/>
        <w:autoSpaceDE/>
        <w:autoSpaceDN/>
        <w:adjustRightInd/>
        <w:snapToGrid/>
        <w:spacing w:line="440" w:lineRule="exact"/>
        <w:ind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开立人（出</w:t>
      </w:r>
      <w:r>
        <w:rPr>
          <w:rFonts w:hint="eastAsia" w:ascii="宋体" w:hAnsi="Times New Roman" w:eastAsia="宋体" w:cs="Times New Roman"/>
          <w:snapToGrid/>
          <w:sz w:val="24"/>
          <w:szCs w:val="24"/>
          <w:lang w:eastAsia="zh-CN"/>
        </w:rPr>
        <w:t>函保险机构</w:t>
      </w:r>
      <w:r>
        <w:rPr>
          <w:rFonts w:ascii="宋体" w:hAnsi="Times New Roman" w:eastAsia="宋体" w:cs="Times New Roman"/>
          <w:snapToGrid/>
          <w:sz w:val="24"/>
          <w:szCs w:val="24"/>
          <w:lang w:eastAsia="zh-CN"/>
        </w:rPr>
        <w:t>）：（公章</w:t>
      </w:r>
      <w:r>
        <w:rPr>
          <w:rFonts w:ascii="宋体" w:hAnsi="Times New Roman" w:eastAsia="宋体" w:cs="Times New Roman"/>
          <w:snapToGrid/>
          <w:spacing w:val="-17"/>
          <w:sz w:val="24"/>
          <w:szCs w:val="24"/>
          <w:lang w:eastAsia="zh-CN"/>
        </w:rPr>
        <w:t>）</w:t>
      </w:r>
    </w:p>
    <w:p w14:paraId="5B8C1C15">
      <w:pPr>
        <w:widowControl w:val="0"/>
        <w:tabs>
          <w:tab w:val="left" w:pos="1678"/>
          <w:tab w:val="left" w:pos="7438"/>
        </w:tabs>
        <w:kinsoku/>
        <w:autoSpaceDE/>
        <w:autoSpaceDN/>
        <w:adjustRightInd/>
        <w:snapToGrid/>
        <w:spacing w:line="440" w:lineRule="exact"/>
        <w:ind w:firstLine="480" w:firstLineChars="200"/>
        <w:jc w:val="both"/>
        <w:rPr>
          <w:rFonts w:ascii="宋体" w:hAnsi="Times New Roman" w:eastAsia="宋体" w:cs="Times New Roman"/>
          <w:snapToGrid/>
          <w:spacing w:val="-17"/>
          <w:sz w:val="24"/>
          <w:szCs w:val="24"/>
          <w:lang w:eastAsia="zh-CN"/>
        </w:rPr>
      </w:pPr>
      <w:r>
        <w:rPr>
          <w:rFonts w:ascii="宋体" w:hAnsi="Times New Roman" w:eastAsia="宋体" w:cs="Times New Roman"/>
          <w:snapToGrid/>
          <w:sz w:val="24"/>
          <w:szCs w:val="24"/>
          <w:lang w:eastAsia="zh-CN"/>
        </w:rPr>
        <w:t>法定代表人（或授权代表）（出</w:t>
      </w:r>
      <w:r>
        <w:rPr>
          <w:rFonts w:hint="eastAsia" w:ascii="宋体" w:hAnsi="Times New Roman" w:eastAsia="宋体" w:cs="Times New Roman"/>
          <w:snapToGrid/>
          <w:sz w:val="24"/>
          <w:szCs w:val="24"/>
          <w:lang w:eastAsia="zh-CN"/>
        </w:rPr>
        <w:t>函保险机构</w:t>
      </w:r>
      <w:r>
        <w:rPr>
          <w:rFonts w:ascii="宋体" w:hAnsi="Times New Roman" w:eastAsia="宋体" w:cs="Times New Roman"/>
          <w:snapToGrid/>
          <w:sz w:val="24"/>
          <w:szCs w:val="24"/>
          <w:lang w:eastAsia="zh-CN"/>
        </w:rPr>
        <w:t>）：（签字或签章</w:t>
      </w:r>
      <w:r>
        <w:rPr>
          <w:rFonts w:ascii="宋体" w:hAnsi="Times New Roman" w:eastAsia="宋体" w:cs="Times New Roman"/>
          <w:snapToGrid/>
          <w:spacing w:val="-17"/>
          <w:sz w:val="24"/>
          <w:szCs w:val="24"/>
          <w:lang w:eastAsia="zh-CN"/>
        </w:rPr>
        <w:t>）</w:t>
      </w:r>
    </w:p>
    <w:p w14:paraId="291E3091">
      <w:pPr>
        <w:widowControl w:val="0"/>
        <w:tabs>
          <w:tab w:val="left" w:pos="1200"/>
          <w:tab w:val="left" w:pos="5697"/>
          <w:tab w:val="left" w:pos="7438"/>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地</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址</w:t>
      </w:r>
      <w:r>
        <w:rPr>
          <w:rFonts w:ascii="宋体" w:hAnsi="Times New Roman" w:eastAsia="宋体" w:cs="Times New Roman"/>
          <w:snapToGrid/>
          <w:sz w:val="24"/>
          <w:szCs w:val="24"/>
          <w:lang w:eastAsia="zh-CN"/>
        </w:rPr>
        <w:t>：</w:t>
      </w:r>
    </w:p>
    <w:p w14:paraId="0639E37A">
      <w:pPr>
        <w:widowControl w:val="0"/>
        <w:tabs>
          <w:tab w:val="left" w:pos="4141"/>
        </w:tabs>
        <w:kinsoku/>
        <w:autoSpaceDE/>
        <w:autoSpaceDN/>
        <w:adjustRightInd/>
        <w:snapToGrid/>
        <w:spacing w:line="440" w:lineRule="exact"/>
        <w:ind w:firstLine="476"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pacing w:val="-1"/>
          <w:sz w:val="24"/>
          <w:szCs w:val="24"/>
          <w:lang w:eastAsia="zh-CN"/>
        </w:rPr>
        <w:t>邮</w:t>
      </w:r>
      <w:r>
        <w:rPr>
          <w:rFonts w:ascii="宋体" w:hAnsi="Times New Roman" w:eastAsia="宋体" w:cs="Times New Roman"/>
          <w:snapToGrid/>
          <w:sz w:val="24"/>
          <w:szCs w:val="24"/>
          <w:lang w:eastAsia="zh-CN"/>
        </w:rPr>
        <w:t>政编码：</w:t>
      </w:r>
      <w:r>
        <w:rPr>
          <w:rFonts w:ascii="Times New Roman" w:hAnsi="Times New Roman" w:eastAsia="Times New Roman" w:cs="Times New Roman"/>
          <w:snapToGrid/>
          <w:sz w:val="24"/>
          <w:szCs w:val="24"/>
          <w:u w:val="single" w:color="000000"/>
          <w:lang w:eastAsia="zh-CN"/>
        </w:rPr>
        <w:tab/>
      </w:r>
    </w:p>
    <w:p w14:paraId="75D866A8">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电</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话</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09E722BC">
      <w:pPr>
        <w:widowControl w:val="0"/>
        <w:tabs>
          <w:tab w:val="left" w:pos="1200"/>
          <w:tab w:val="left" w:pos="4257"/>
        </w:tabs>
        <w:kinsoku/>
        <w:autoSpaceDE/>
        <w:autoSpaceDN/>
        <w:adjustRightInd/>
        <w:snapToGrid/>
        <w:spacing w:line="440" w:lineRule="exact"/>
        <w:ind w:firstLine="480" w:firstLineChars="200"/>
        <w:jc w:val="both"/>
        <w:rPr>
          <w:rFonts w:ascii="Times New Roman" w:hAnsi="Times New Roman" w:eastAsia="宋体" w:cs="Times New Roman"/>
          <w:snapToGrid/>
          <w:sz w:val="24"/>
          <w:szCs w:val="24"/>
          <w:lang w:eastAsia="zh-CN"/>
        </w:rPr>
      </w:pPr>
      <w:r>
        <w:rPr>
          <w:rFonts w:ascii="宋体" w:hAnsi="Times New Roman" w:eastAsia="宋体" w:cs="Times New Roman"/>
          <w:snapToGrid/>
          <w:sz w:val="24"/>
          <w:szCs w:val="24"/>
          <w:lang w:eastAsia="zh-CN"/>
        </w:rPr>
        <w:t>传</w:t>
      </w:r>
      <w:r>
        <w:rPr>
          <w:rFonts w:ascii="宋体" w:hAnsi="Times New Roman" w:eastAsia="宋体" w:cs="Times New Roman"/>
          <w:snapToGrid/>
          <w:sz w:val="24"/>
          <w:szCs w:val="24"/>
          <w:lang w:eastAsia="zh-CN"/>
        </w:rPr>
        <w:tab/>
      </w:r>
      <w:r>
        <w:rPr>
          <w:rFonts w:ascii="宋体" w:hAnsi="Times New Roman" w:eastAsia="宋体" w:cs="Times New Roman"/>
          <w:snapToGrid/>
          <w:spacing w:val="-1"/>
          <w:sz w:val="24"/>
          <w:szCs w:val="24"/>
          <w:lang w:eastAsia="zh-CN"/>
        </w:rPr>
        <w:t>真</w:t>
      </w:r>
      <w:r>
        <w:rPr>
          <w:rFonts w:ascii="宋体" w:hAnsi="Times New Roman" w:eastAsia="宋体" w:cs="Times New Roman"/>
          <w:snapToGrid/>
          <w:sz w:val="24"/>
          <w:szCs w:val="24"/>
          <w:lang w:eastAsia="zh-CN"/>
        </w:rPr>
        <w:t>：</w:t>
      </w:r>
      <w:r>
        <w:rPr>
          <w:rFonts w:ascii="Times New Roman" w:hAnsi="Times New Roman" w:eastAsia="Times New Roman" w:cs="Times New Roman"/>
          <w:snapToGrid/>
          <w:sz w:val="24"/>
          <w:szCs w:val="24"/>
          <w:u w:val="single" w:color="000000"/>
          <w:lang w:eastAsia="zh-CN"/>
        </w:rPr>
        <w:tab/>
      </w:r>
    </w:p>
    <w:p w14:paraId="032C48C3">
      <w:pPr>
        <w:widowControl w:val="0"/>
        <w:tabs>
          <w:tab w:val="left" w:pos="4141"/>
        </w:tabs>
        <w:kinsoku/>
        <w:autoSpaceDE/>
        <w:autoSpaceDN/>
        <w:adjustRightInd/>
        <w:snapToGrid/>
        <w:spacing w:line="440" w:lineRule="exact"/>
        <w:ind w:firstLine="480" w:firstLineChars="200"/>
        <w:jc w:val="both"/>
        <w:rPr>
          <w:rFonts w:ascii="宋体" w:hAnsi="Times New Roman" w:eastAsia="宋体" w:cs="Times New Roman"/>
          <w:snapToGrid/>
          <w:sz w:val="24"/>
          <w:szCs w:val="24"/>
          <w:u w:val="single"/>
          <w:lang w:eastAsia="zh-CN"/>
        </w:rPr>
      </w:pPr>
      <w:r>
        <w:rPr>
          <w:rFonts w:ascii="宋体" w:hAnsi="Times New Roman" w:eastAsia="宋体" w:cs="Times New Roman"/>
          <w:snapToGrid/>
          <w:sz w:val="24"/>
          <w:szCs w:val="24"/>
          <w:lang w:eastAsia="zh-CN"/>
        </w:rPr>
        <w:t>开立时间：年月</w:t>
      </w:r>
    </w:p>
    <w:p w14:paraId="54F018BC">
      <w:pPr>
        <w:widowControl w:val="0"/>
        <w:kinsoku/>
        <w:autoSpaceDE/>
        <w:autoSpaceDN/>
        <w:adjustRightInd/>
        <w:snapToGrid/>
        <w:spacing w:line="440" w:lineRule="exact"/>
        <w:ind w:right="-15" w:firstLine="480" w:firstLineChars="200"/>
        <w:jc w:val="both"/>
        <w:rPr>
          <w:rFonts w:ascii="宋体" w:hAnsi="Times New Roman" w:eastAsia="宋体" w:cs="Times New Roman"/>
          <w:snapToGrid/>
          <w:sz w:val="24"/>
          <w:szCs w:val="24"/>
          <w:lang w:eastAsia="zh-CN"/>
        </w:rPr>
      </w:pPr>
      <w:r>
        <w:rPr>
          <w:rFonts w:ascii="宋体" w:hAnsi="Times New Roman" w:eastAsia="宋体" w:cs="Times New Roman"/>
          <w:snapToGrid/>
          <w:sz w:val="24"/>
          <w:szCs w:val="24"/>
          <w:lang w:eastAsia="zh-CN"/>
        </w:rPr>
        <w:t>注：</w:t>
      </w:r>
      <w:r>
        <w:rPr>
          <w:rFonts w:hint="eastAsia" w:ascii="宋体" w:hAnsi="Times New Roman" w:eastAsia="宋体" w:cs="Times New Roman"/>
          <w:snapToGrid/>
          <w:sz w:val="24"/>
          <w:szCs w:val="24"/>
          <w:lang w:eastAsia="zh-CN"/>
        </w:rPr>
        <w:t>保证保险期限必须大于投标有效期。投标人须将采用的纸质保证保险原件扫描件编入投标文件，未编入的视为未提供投标担保，其投标无效；虽提交了纸质保证保险原件扫描件，但其载明的要素与权利义务的要求，不符合格式文本要求，没有按照招标文件约定、投标人的承诺承担所有保证事项或者不是无条件</w:t>
      </w:r>
      <w:r>
        <w:rPr>
          <w:rFonts w:ascii="宋体" w:hAnsi="Times New Roman" w:eastAsia="宋体" w:cs="Times New Roman"/>
          <w:snapToGrid/>
          <w:sz w:val="24"/>
          <w:szCs w:val="24"/>
          <w:lang w:eastAsia="zh-CN"/>
        </w:rPr>
        <w:t>见索即付式的</w:t>
      </w:r>
      <w:r>
        <w:rPr>
          <w:rFonts w:hint="eastAsia" w:ascii="宋体" w:hAnsi="Times New Roman" w:eastAsia="宋体" w:cs="Times New Roman"/>
          <w:snapToGrid/>
          <w:sz w:val="24"/>
          <w:szCs w:val="24"/>
          <w:lang w:eastAsia="zh-CN"/>
        </w:rPr>
        <w:t>保证保险</w:t>
      </w:r>
      <w:r>
        <w:rPr>
          <w:rFonts w:ascii="宋体" w:hAnsi="Times New Roman" w:eastAsia="宋体" w:cs="Times New Roman"/>
          <w:snapToGrid/>
          <w:sz w:val="24"/>
          <w:szCs w:val="24"/>
          <w:lang w:eastAsia="zh-CN"/>
        </w:rPr>
        <w:t>，视为未提交</w:t>
      </w:r>
      <w:r>
        <w:rPr>
          <w:rFonts w:hint="eastAsia" w:ascii="宋体" w:hAnsi="Times New Roman" w:eastAsia="宋体" w:cs="Times New Roman"/>
          <w:snapToGrid/>
          <w:sz w:val="24"/>
          <w:szCs w:val="24"/>
          <w:lang w:eastAsia="zh-CN"/>
        </w:rPr>
        <w:t>保证保险</w:t>
      </w:r>
      <w:r>
        <w:rPr>
          <w:rFonts w:ascii="宋体" w:hAnsi="Times New Roman" w:eastAsia="宋体" w:cs="Times New Roman"/>
          <w:snapToGrid/>
          <w:sz w:val="24"/>
          <w:szCs w:val="24"/>
          <w:lang w:eastAsia="zh-CN"/>
        </w:rPr>
        <w:t>，其投标无效</w:t>
      </w:r>
      <w:r>
        <w:rPr>
          <w:rFonts w:hint="eastAsia" w:ascii="宋体" w:hAnsi="Times New Roman" w:eastAsia="宋体" w:cs="Times New Roman"/>
          <w:snapToGrid/>
          <w:sz w:val="24"/>
          <w:szCs w:val="24"/>
          <w:lang w:eastAsia="zh-CN"/>
        </w:rPr>
        <w:t>。</w:t>
      </w:r>
    </w:p>
    <w:p w14:paraId="19F1D179">
      <w:pPr>
        <w:widowControl w:val="0"/>
        <w:kinsoku/>
        <w:autoSpaceDE/>
        <w:autoSpaceDN/>
        <w:adjustRightInd/>
        <w:snapToGrid/>
        <w:ind w:right="96"/>
        <w:jc w:val="both"/>
        <w:textAlignment w:val="auto"/>
        <w:rPr>
          <w:rFonts w:ascii="宋体" w:hAnsi="Times New Roman" w:eastAsia="宋体" w:cs="Times New Roman"/>
          <w:snapToGrid/>
          <w:sz w:val="24"/>
          <w:szCs w:val="24"/>
          <w:lang w:eastAsia="zh-CN"/>
        </w:rPr>
      </w:pPr>
    </w:p>
    <w:p w14:paraId="6CFDCC05">
      <w:pPr>
        <w:kinsoku/>
        <w:autoSpaceDE/>
        <w:autoSpaceDN/>
        <w:adjustRightInd/>
        <w:snapToGrid/>
        <w:jc w:val="center"/>
        <w:rPr>
          <w:rFonts w:ascii="黑体" w:hAnsi="Times New Roman" w:eastAsia="黑体" w:cs="Times New Roman"/>
          <w:snapToGrid/>
          <w:sz w:val="24"/>
          <w:szCs w:val="24"/>
          <w:lang w:eastAsia="zh-CN"/>
        </w:rPr>
      </w:pPr>
    </w:p>
    <w:p w14:paraId="5F88DD71">
      <w:pPr>
        <w:rPr>
          <w:rFonts w:ascii="黑体" w:hAnsi="Times New Roman" w:eastAsia="黑体" w:cs="Times New Roman"/>
          <w:snapToGrid/>
          <w:sz w:val="24"/>
          <w:szCs w:val="24"/>
          <w:lang w:eastAsia="zh-CN"/>
        </w:rPr>
      </w:pPr>
      <w:r>
        <w:rPr>
          <w:rFonts w:ascii="黑体" w:hAnsi="Times New Roman" w:eastAsia="黑体" w:cs="Times New Roman"/>
          <w:snapToGrid/>
          <w:sz w:val="24"/>
          <w:szCs w:val="24"/>
          <w:lang w:eastAsia="zh-CN"/>
        </w:rPr>
        <w:br w:type="page"/>
      </w:r>
    </w:p>
    <w:p w14:paraId="20A41B2F">
      <w:pPr>
        <w:widowControl w:val="0"/>
        <w:kinsoku/>
        <w:autoSpaceDE/>
        <w:autoSpaceDN/>
        <w:adjustRightInd/>
        <w:snapToGrid/>
        <w:jc w:val="center"/>
        <w:textAlignment w:val="auto"/>
        <w:rPr>
          <w:rFonts w:hint="eastAsia" w:ascii="宋体" w:hAnsi="宋体" w:eastAsia="宋体" w:cs="宋体"/>
          <w:snapToGrid/>
          <w:sz w:val="28"/>
          <w:szCs w:val="28"/>
          <w:lang w:eastAsia="zh-CN"/>
        </w:rPr>
      </w:pPr>
      <w:r>
        <w:rPr>
          <w:rFonts w:hint="eastAsia" w:ascii="宋体" w:hAnsi="宋体" w:eastAsia="宋体" w:cs="宋体"/>
          <w:snapToGrid/>
          <w:sz w:val="28"/>
          <w:szCs w:val="28"/>
          <w:lang w:eastAsia="zh-CN"/>
        </w:rPr>
        <w:t>免缴投标保证金承诺函</w:t>
      </w:r>
    </w:p>
    <w:p w14:paraId="52B39976">
      <w:pPr>
        <w:widowControl w:val="0"/>
        <w:kinsoku/>
        <w:autoSpaceDE/>
        <w:autoSpaceDN/>
        <w:adjustRightInd/>
        <w:snapToGrid/>
        <w:spacing w:line="560" w:lineRule="exact"/>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招标人：</w:t>
      </w:r>
    </w:p>
    <w:p w14:paraId="4F13375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本公司（单位）拟参加项目的投标，自愿以书面承诺形式替代投标保证金并愿意承担不实承诺的法律责任。</w:t>
      </w:r>
    </w:p>
    <w:p w14:paraId="2F3E8E3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一、项目基本情况</w:t>
      </w:r>
    </w:p>
    <w:p w14:paraId="0DE1F799">
      <w:pPr>
        <w:widowControl w:val="0"/>
        <w:kinsoku/>
        <w:autoSpaceDE/>
        <w:autoSpaceDN/>
        <w:adjustRightInd/>
        <w:snapToGrid/>
        <w:spacing w:line="560" w:lineRule="exact"/>
        <w:ind w:firstLine="640"/>
        <w:jc w:val="both"/>
        <w:textAlignment w:val="auto"/>
        <w:rPr>
          <w:rFonts w:hint="eastAsia" w:ascii="宋体" w:hAnsi="宋体" w:eastAsia="宋体" w:cs="宋体"/>
          <w:snapToGrid/>
          <w:sz w:val="24"/>
          <w:szCs w:val="24"/>
          <w:u w:val="single"/>
          <w:lang w:eastAsia="zh-CN"/>
        </w:rPr>
      </w:pPr>
      <w:r>
        <w:rPr>
          <w:rFonts w:hint="eastAsia" w:ascii="宋体" w:hAnsi="宋体" w:eastAsia="宋体" w:cs="宋体"/>
          <w:snapToGrid/>
          <w:sz w:val="24"/>
          <w:szCs w:val="24"/>
          <w:lang w:eastAsia="zh-CN"/>
        </w:rPr>
        <w:t>项目名称：</w:t>
      </w:r>
    </w:p>
    <w:p w14:paraId="30E45D7C">
      <w:pPr>
        <w:widowControl w:val="0"/>
        <w:kinsoku/>
        <w:autoSpaceDE/>
        <w:autoSpaceDN/>
        <w:adjustRightInd/>
        <w:snapToGrid/>
        <w:spacing w:line="560" w:lineRule="exact"/>
        <w:ind w:firstLine="640"/>
        <w:jc w:val="both"/>
        <w:textAlignment w:val="auto"/>
        <w:rPr>
          <w:rFonts w:hint="eastAsia" w:ascii="宋体" w:hAnsi="宋体" w:eastAsia="宋体" w:cs="宋体"/>
          <w:snapToGrid/>
          <w:sz w:val="24"/>
          <w:szCs w:val="24"/>
          <w:u w:val="single"/>
          <w:lang w:eastAsia="zh-CN"/>
        </w:rPr>
      </w:pPr>
      <w:r>
        <w:rPr>
          <w:rFonts w:hint="eastAsia" w:ascii="宋体" w:hAnsi="宋体" w:eastAsia="宋体" w:cs="宋体"/>
          <w:snapToGrid/>
          <w:sz w:val="24"/>
          <w:szCs w:val="24"/>
          <w:lang w:eastAsia="zh-CN"/>
        </w:rPr>
        <w:t>标段名称：</w:t>
      </w:r>
    </w:p>
    <w:p w14:paraId="43E31AAA">
      <w:pPr>
        <w:widowControl w:val="0"/>
        <w:kinsoku/>
        <w:autoSpaceDE/>
        <w:autoSpaceDN/>
        <w:adjustRightInd/>
        <w:snapToGrid/>
        <w:spacing w:line="560" w:lineRule="exact"/>
        <w:ind w:firstLine="64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开标时间：年月日</w:t>
      </w:r>
    </w:p>
    <w:p w14:paraId="7A82C392">
      <w:pPr>
        <w:widowControl w:val="0"/>
        <w:kinsoku/>
        <w:autoSpaceDE/>
        <w:autoSpaceDN/>
        <w:adjustRightInd/>
        <w:snapToGrid/>
        <w:spacing w:line="560" w:lineRule="exact"/>
        <w:ind w:firstLine="640"/>
        <w:jc w:val="both"/>
        <w:textAlignment w:val="auto"/>
        <w:rPr>
          <w:rFonts w:hint="eastAsia" w:ascii="宋体" w:hAnsi="宋体" w:eastAsia="宋体" w:cs="宋体"/>
          <w:snapToGrid/>
          <w:sz w:val="24"/>
          <w:szCs w:val="24"/>
          <w:u w:val="single"/>
          <w:lang w:eastAsia="zh-CN"/>
        </w:rPr>
      </w:pPr>
      <w:r>
        <w:rPr>
          <w:rFonts w:hint="eastAsia" w:ascii="宋体" w:hAnsi="宋体" w:eastAsia="宋体" w:cs="宋体"/>
          <w:snapToGrid/>
          <w:sz w:val="24"/>
          <w:szCs w:val="24"/>
          <w:lang w:eastAsia="zh-CN"/>
        </w:rPr>
        <w:t>保证金金额：元</w:t>
      </w:r>
    </w:p>
    <w:p w14:paraId="0595B3C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二、本公司（单位）承诺</w:t>
      </w:r>
    </w:p>
    <w:p w14:paraId="5B1D7C0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在此次招投标活动中不发生以下情形：</w:t>
      </w:r>
    </w:p>
    <w:p w14:paraId="152C09F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1、在投标截止后撤销投标文件；</w:t>
      </w:r>
    </w:p>
    <w:p w14:paraId="5587E28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2、中标后无正当理由不与招标人订立合同，在签订合同时向招标人提出附加条件，或者不按照招标文件要求提交履约保证金（履约担保）；</w:t>
      </w:r>
    </w:p>
    <w:p w14:paraId="590A816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3、招标文件中约定属于投标保证金不予退还情形；</w:t>
      </w:r>
    </w:p>
    <w:p w14:paraId="0312376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4、法律法规规定的其他不予退还投标保证金情形。</w:t>
      </w:r>
    </w:p>
    <w:p w14:paraId="6CE39FF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三、自愿承担不实承诺的法律后果：</w:t>
      </w:r>
    </w:p>
    <w:p w14:paraId="737BA54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1、投标资格无效；</w:t>
      </w:r>
    </w:p>
    <w:p w14:paraId="697FDB7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自发现上述不实承诺行为之日起7个工作日内向招标文件约定的投标保证金专用账户补缴投标保证金；逾期未缴的视为失信行为，自愿接受记不良行为记录、投标资格限制、不予退还投标保证金等处罚或处理；给他人造成损失的，自愿依法承担赔偿责任。</w:t>
      </w:r>
    </w:p>
    <w:p w14:paraId="69138C9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上述承诺是自身真实的意思表示。</w:t>
      </w:r>
    </w:p>
    <w:p w14:paraId="2E0582A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承诺人（公章）：</w:t>
      </w:r>
    </w:p>
    <w:p w14:paraId="2473106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法定代表人：</w:t>
      </w:r>
    </w:p>
    <w:p w14:paraId="6D49D67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联系电话：</w:t>
      </w:r>
    </w:p>
    <w:p w14:paraId="44B4E41A">
      <w:pPr>
        <w:pStyle w:val="2"/>
        <w:ind w:left="63" w:right="63" w:firstLine="480" w:firstLineChars="200"/>
        <w:jc w:val="both"/>
        <w:rPr>
          <w:rFonts w:hint="eastAsia" w:ascii="宋体" w:hAnsi="宋体" w:cs="宋体"/>
          <w:szCs w:val="24"/>
        </w:rPr>
      </w:pPr>
      <w:r>
        <w:rPr>
          <w:rFonts w:hint="eastAsia" w:ascii="宋体" w:hAnsi="宋体" w:cs="宋体"/>
          <w:szCs w:val="24"/>
        </w:rPr>
        <w:t>承诺日期：年月日</w:t>
      </w:r>
    </w:p>
    <w:p w14:paraId="6A9F89B1">
      <w:pPr>
        <w:rPr>
          <w:rFonts w:ascii="宋体" w:hAnsi="宋体" w:cs="宋体"/>
          <w:szCs w:val="24"/>
          <w:lang w:eastAsia="zh-CN"/>
        </w:rPr>
      </w:pPr>
      <w:r>
        <w:rPr>
          <w:rFonts w:hint="eastAsia" w:ascii="宋体" w:hAnsi="宋体" w:cs="宋体"/>
          <w:szCs w:val="24"/>
          <w:lang w:eastAsia="zh-CN"/>
        </w:rPr>
        <w:br w:type="page"/>
      </w:r>
    </w:p>
    <w:p w14:paraId="057239C0">
      <w:pPr>
        <w:spacing w:before="179" w:line="219" w:lineRule="auto"/>
        <w:ind w:left="2117"/>
        <w:rPr>
          <w:rFonts w:hint="eastAsia" w:ascii="宋体" w:hAnsi="宋体" w:eastAsia="宋体" w:cs="宋体"/>
          <w:sz w:val="28"/>
          <w:szCs w:val="28"/>
          <w:highlight w:val="none"/>
          <w:lang w:eastAsia="zh-CN"/>
        </w:rPr>
      </w:pPr>
      <w:r>
        <w:rPr>
          <w:rFonts w:ascii="宋体" w:hAnsi="宋体" w:eastAsia="宋体" w:cs="宋体"/>
          <w:b/>
          <w:bCs/>
          <w:spacing w:val="-6"/>
          <w:sz w:val="28"/>
          <w:szCs w:val="28"/>
          <w:highlight w:val="none"/>
          <w:lang w:eastAsia="zh-CN"/>
        </w:rPr>
        <w:t>(二)设计人员及项目管理机构配备</w:t>
      </w:r>
    </w:p>
    <w:p w14:paraId="0A1E2430">
      <w:pPr>
        <w:spacing w:before="235" w:line="308" w:lineRule="auto"/>
        <w:ind w:left="25" w:right="78" w:firstLine="478"/>
        <w:jc w:val="both"/>
        <w:rPr>
          <w:rFonts w:hint="eastAsia" w:ascii="宋体" w:hAnsi="宋体" w:eastAsia="宋体" w:cs="宋体"/>
          <w:sz w:val="24"/>
          <w:szCs w:val="24"/>
          <w:highlight w:val="none"/>
          <w:lang w:eastAsia="zh-CN"/>
        </w:rPr>
      </w:pPr>
      <w:r>
        <w:rPr>
          <w:rFonts w:ascii="宋体" w:hAnsi="宋体" w:eastAsia="宋体" w:cs="宋体"/>
          <w:spacing w:val="-7"/>
          <w:sz w:val="24"/>
          <w:szCs w:val="24"/>
          <w:highlight w:val="none"/>
          <w:lang w:eastAsia="zh-CN"/>
        </w:rPr>
        <w:t>注：具体要求详见招标文件。联合体投标的，设计岗位人员资料由联合体成</w:t>
      </w:r>
      <w:r>
        <w:rPr>
          <w:rFonts w:ascii="宋体" w:hAnsi="宋体" w:eastAsia="宋体" w:cs="宋体"/>
          <w:spacing w:val="-3"/>
          <w:sz w:val="24"/>
          <w:szCs w:val="24"/>
          <w:highlight w:val="none"/>
          <w:lang w:eastAsia="zh-CN"/>
        </w:rPr>
        <w:t>员中具有设计资质的成员单位提供，建设工程项目部关键岗位人员资料由联合体成员中具有施工资质的成员单位提供。</w:t>
      </w:r>
    </w:p>
    <w:p w14:paraId="415F0A12">
      <w:pPr>
        <w:spacing w:before="19"/>
        <w:rPr>
          <w:highlight w:val="green"/>
          <w:lang w:eastAsia="zh-CN"/>
        </w:rPr>
      </w:pP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8"/>
        <w:gridCol w:w="1657"/>
        <w:gridCol w:w="789"/>
        <w:gridCol w:w="1062"/>
        <w:gridCol w:w="1198"/>
        <w:gridCol w:w="1026"/>
        <w:gridCol w:w="959"/>
        <w:gridCol w:w="976"/>
        <w:gridCol w:w="1056"/>
      </w:tblGrid>
      <w:tr w14:paraId="680A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95" w:type="pct"/>
            <w:vMerge w:val="restart"/>
            <w:vAlign w:val="center"/>
          </w:tcPr>
          <w:p w14:paraId="76123D10">
            <w:pPr>
              <w:widowControl w:val="0"/>
              <w:spacing w:before="137" w:line="238"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874" w:type="pct"/>
            <w:vMerge w:val="restart"/>
            <w:vAlign w:val="center"/>
          </w:tcPr>
          <w:p w14:paraId="34BD7790">
            <w:pPr>
              <w:widowControl w:val="0"/>
              <w:spacing w:before="137" w:line="238" w:lineRule="auto"/>
              <w:ind w:firstLine="240" w:firstLineChars="1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本项目任职</w:t>
            </w:r>
          </w:p>
        </w:tc>
        <w:tc>
          <w:tcPr>
            <w:tcW w:w="416" w:type="pct"/>
            <w:vMerge w:val="restart"/>
            <w:vAlign w:val="center"/>
          </w:tcPr>
          <w:p w14:paraId="63A0A6C1">
            <w:pPr>
              <w:widowControl w:val="0"/>
              <w:spacing w:before="137" w:line="238" w:lineRule="auto"/>
              <w:ind w:left="263"/>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560" w:type="pct"/>
            <w:vMerge w:val="restart"/>
            <w:vAlign w:val="center"/>
          </w:tcPr>
          <w:p w14:paraId="252A12FB">
            <w:pPr>
              <w:widowControl w:val="0"/>
              <w:spacing w:before="137" w:line="238" w:lineRule="auto"/>
              <w:ind w:firstLine="240" w:firstLineChars="1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职称</w:t>
            </w:r>
          </w:p>
        </w:tc>
        <w:tc>
          <w:tcPr>
            <w:tcW w:w="632" w:type="pct"/>
            <w:vMerge w:val="restart"/>
            <w:vAlign w:val="center"/>
          </w:tcPr>
          <w:p w14:paraId="5A26EAFE">
            <w:pPr>
              <w:widowControl w:val="0"/>
              <w:spacing w:before="194" w:line="217" w:lineRule="auto"/>
              <w:ind w:left="130" w:firstLine="234" w:firstLineChars="100"/>
              <w:jc w:val="both"/>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专业</w:t>
            </w:r>
          </w:p>
        </w:tc>
        <w:tc>
          <w:tcPr>
            <w:tcW w:w="1562" w:type="pct"/>
            <w:gridSpan w:val="3"/>
            <w:vAlign w:val="center"/>
          </w:tcPr>
          <w:p w14:paraId="2211FAE0">
            <w:pPr>
              <w:widowControl w:val="0"/>
              <w:spacing w:before="137" w:line="238" w:lineRule="auto"/>
              <w:ind w:firstLine="240" w:firstLineChars="1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执业或职业资格证明</w:t>
            </w:r>
          </w:p>
        </w:tc>
        <w:tc>
          <w:tcPr>
            <w:tcW w:w="557" w:type="pct"/>
            <w:vMerge w:val="restart"/>
            <w:vAlign w:val="center"/>
          </w:tcPr>
          <w:p w14:paraId="26D22CBB">
            <w:pPr>
              <w:widowControl w:val="0"/>
              <w:spacing w:before="137" w:line="238" w:lineRule="auto"/>
              <w:ind w:firstLine="240" w:firstLineChars="1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31F87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95" w:type="pct"/>
            <w:vMerge w:val="continue"/>
            <w:vAlign w:val="center"/>
          </w:tcPr>
          <w:p w14:paraId="029E381E">
            <w:pPr>
              <w:widowControl w:val="0"/>
              <w:spacing w:before="137" w:line="238" w:lineRule="auto"/>
              <w:jc w:val="center"/>
              <w:rPr>
                <w:rFonts w:hint="eastAsia" w:ascii="仿宋" w:hAnsi="仿宋" w:eastAsia="仿宋" w:cs="仿宋"/>
                <w:sz w:val="24"/>
                <w:szCs w:val="24"/>
                <w:lang w:eastAsia="zh-CN"/>
              </w:rPr>
            </w:pPr>
          </w:p>
        </w:tc>
        <w:tc>
          <w:tcPr>
            <w:tcW w:w="874" w:type="pct"/>
            <w:vMerge w:val="continue"/>
            <w:vAlign w:val="center"/>
          </w:tcPr>
          <w:p w14:paraId="0ADB7912">
            <w:pPr>
              <w:widowControl w:val="0"/>
              <w:spacing w:before="137" w:line="238" w:lineRule="auto"/>
              <w:ind w:left="263" w:firstLine="240" w:firstLineChars="100"/>
              <w:jc w:val="center"/>
              <w:rPr>
                <w:rFonts w:hint="eastAsia" w:ascii="仿宋" w:hAnsi="仿宋" w:eastAsia="仿宋" w:cs="仿宋"/>
                <w:sz w:val="24"/>
                <w:szCs w:val="24"/>
                <w:lang w:eastAsia="zh-CN"/>
              </w:rPr>
            </w:pPr>
          </w:p>
        </w:tc>
        <w:tc>
          <w:tcPr>
            <w:tcW w:w="416" w:type="pct"/>
            <w:vMerge w:val="continue"/>
            <w:vAlign w:val="center"/>
          </w:tcPr>
          <w:p w14:paraId="20C0546D">
            <w:pPr>
              <w:widowControl w:val="0"/>
              <w:spacing w:before="137" w:line="238" w:lineRule="auto"/>
              <w:ind w:left="263"/>
              <w:jc w:val="center"/>
              <w:rPr>
                <w:rFonts w:hint="eastAsia" w:ascii="仿宋" w:hAnsi="仿宋" w:eastAsia="仿宋" w:cs="仿宋"/>
                <w:sz w:val="24"/>
                <w:szCs w:val="24"/>
                <w:lang w:eastAsia="zh-CN"/>
              </w:rPr>
            </w:pPr>
          </w:p>
        </w:tc>
        <w:tc>
          <w:tcPr>
            <w:tcW w:w="560" w:type="pct"/>
            <w:vMerge w:val="continue"/>
            <w:vAlign w:val="center"/>
          </w:tcPr>
          <w:p w14:paraId="0D739C81">
            <w:pPr>
              <w:widowControl w:val="0"/>
              <w:spacing w:before="137" w:line="238" w:lineRule="auto"/>
              <w:ind w:left="263"/>
              <w:jc w:val="center"/>
              <w:rPr>
                <w:rFonts w:hint="eastAsia" w:ascii="仿宋" w:hAnsi="仿宋" w:eastAsia="仿宋" w:cs="仿宋"/>
                <w:sz w:val="24"/>
                <w:szCs w:val="24"/>
                <w:lang w:eastAsia="zh-CN"/>
              </w:rPr>
            </w:pPr>
          </w:p>
        </w:tc>
        <w:tc>
          <w:tcPr>
            <w:tcW w:w="632" w:type="pct"/>
            <w:vMerge w:val="continue"/>
            <w:vAlign w:val="center"/>
          </w:tcPr>
          <w:p w14:paraId="2747ACF6">
            <w:pPr>
              <w:widowControl w:val="0"/>
              <w:spacing w:before="194" w:line="217" w:lineRule="auto"/>
              <w:ind w:left="130"/>
              <w:jc w:val="center"/>
              <w:rPr>
                <w:rFonts w:hint="eastAsia" w:ascii="仿宋" w:hAnsi="仿宋" w:eastAsia="仿宋" w:cs="仿宋"/>
                <w:spacing w:val="-3"/>
                <w:sz w:val="24"/>
                <w:szCs w:val="24"/>
                <w:lang w:eastAsia="zh-CN"/>
              </w:rPr>
            </w:pPr>
          </w:p>
        </w:tc>
        <w:tc>
          <w:tcPr>
            <w:tcW w:w="541" w:type="pct"/>
            <w:vAlign w:val="center"/>
          </w:tcPr>
          <w:p w14:paraId="03C31C05">
            <w:pPr>
              <w:widowControl w:val="0"/>
              <w:spacing w:before="222" w:line="200" w:lineRule="auto"/>
              <w:ind w:left="38"/>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证书名称</w:t>
            </w:r>
          </w:p>
        </w:tc>
        <w:tc>
          <w:tcPr>
            <w:tcW w:w="506" w:type="pct"/>
            <w:vAlign w:val="center"/>
          </w:tcPr>
          <w:p w14:paraId="6F16A1F3">
            <w:pPr>
              <w:widowControl w:val="0"/>
              <w:spacing w:before="137" w:line="238" w:lineRule="auto"/>
              <w:ind w:firstLine="240" w:firstLineChars="1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级别</w:t>
            </w:r>
          </w:p>
        </w:tc>
        <w:tc>
          <w:tcPr>
            <w:tcW w:w="514" w:type="pct"/>
            <w:vAlign w:val="center"/>
          </w:tcPr>
          <w:p w14:paraId="524FDD53">
            <w:pPr>
              <w:widowControl w:val="0"/>
              <w:spacing w:before="137" w:line="238" w:lineRule="auto"/>
              <w:ind w:firstLine="240" w:firstLineChars="1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证号</w:t>
            </w:r>
          </w:p>
        </w:tc>
        <w:tc>
          <w:tcPr>
            <w:tcW w:w="557" w:type="pct"/>
            <w:vMerge w:val="continue"/>
            <w:vAlign w:val="center"/>
          </w:tcPr>
          <w:p w14:paraId="5CEAACEA">
            <w:pPr>
              <w:widowControl w:val="0"/>
              <w:spacing w:before="137" w:line="238" w:lineRule="auto"/>
              <w:ind w:firstLine="240" w:firstLineChars="100"/>
              <w:jc w:val="center"/>
              <w:rPr>
                <w:rFonts w:hint="eastAsia" w:ascii="仿宋" w:hAnsi="仿宋" w:eastAsia="仿宋" w:cs="仿宋"/>
                <w:sz w:val="24"/>
                <w:szCs w:val="24"/>
                <w:lang w:eastAsia="zh-CN"/>
              </w:rPr>
            </w:pPr>
          </w:p>
        </w:tc>
      </w:tr>
      <w:tr w14:paraId="78A95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95" w:type="pct"/>
          </w:tcPr>
          <w:p w14:paraId="25349A7A">
            <w:pPr>
              <w:widowControl w:val="0"/>
              <w:spacing w:before="137" w:line="238" w:lineRule="auto"/>
              <w:ind w:left="263"/>
              <w:rPr>
                <w:rFonts w:hint="eastAsia" w:ascii="仿宋" w:hAnsi="仿宋" w:eastAsia="仿宋" w:cs="仿宋"/>
                <w:sz w:val="24"/>
                <w:szCs w:val="24"/>
                <w:lang w:eastAsia="zh-CN"/>
              </w:rPr>
            </w:pPr>
            <w:r>
              <w:rPr>
                <w:rFonts w:hint="eastAsia" w:ascii="仿宋" w:hAnsi="仿宋" w:eastAsia="仿宋" w:cs="仿宋"/>
                <w:sz w:val="24"/>
                <w:szCs w:val="24"/>
                <w:lang w:eastAsia="zh-CN"/>
              </w:rPr>
              <w:t>一</w:t>
            </w:r>
          </w:p>
        </w:tc>
        <w:tc>
          <w:tcPr>
            <w:tcW w:w="874" w:type="pct"/>
          </w:tcPr>
          <w:p w14:paraId="6E16F0B7">
            <w:pPr>
              <w:widowControl w:val="0"/>
              <w:spacing w:before="137" w:line="218" w:lineRule="auto"/>
              <w:ind w:left="182"/>
              <w:rPr>
                <w:rFonts w:hint="eastAsia" w:ascii="仿宋" w:hAnsi="仿宋" w:eastAsia="仿宋" w:cs="仿宋"/>
                <w:sz w:val="24"/>
                <w:szCs w:val="24"/>
              </w:rPr>
            </w:pPr>
            <w:r>
              <w:rPr>
                <w:rFonts w:ascii="仿宋" w:hAnsi="仿宋" w:eastAsia="仿宋" w:cs="仿宋"/>
                <w:spacing w:val="-3"/>
                <w:sz w:val="24"/>
                <w:szCs w:val="24"/>
              </w:rPr>
              <w:t>设计负责人</w:t>
            </w:r>
          </w:p>
        </w:tc>
        <w:tc>
          <w:tcPr>
            <w:tcW w:w="416" w:type="pct"/>
          </w:tcPr>
          <w:p w14:paraId="011D97BE"/>
        </w:tc>
        <w:tc>
          <w:tcPr>
            <w:tcW w:w="560" w:type="pct"/>
          </w:tcPr>
          <w:p w14:paraId="6752FFDB"/>
        </w:tc>
        <w:tc>
          <w:tcPr>
            <w:tcW w:w="632" w:type="pct"/>
          </w:tcPr>
          <w:p w14:paraId="762E585C"/>
        </w:tc>
        <w:tc>
          <w:tcPr>
            <w:tcW w:w="541" w:type="pct"/>
          </w:tcPr>
          <w:p w14:paraId="6B00CAFD"/>
        </w:tc>
        <w:tc>
          <w:tcPr>
            <w:tcW w:w="506" w:type="pct"/>
          </w:tcPr>
          <w:p w14:paraId="187838A2"/>
        </w:tc>
        <w:tc>
          <w:tcPr>
            <w:tcW w:w="514" w:type="pct"/>
          </w:tcPr>
          <w:p w14:paraId="572167E8"/>
        </w:tc>
        <w:tc>
          <w:tcPr>
            <w:tcW w:w="557" w:type="pct"/>
          </w:tcPr>
          <w:p w14:paraId="379C0CF1"/>
        </w:tc>
      </w:tr>
      <w:tr w14:paraId="1240A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95" w:type="pct"/>
          </w:tcPr>
          <w:p w14:paraId="133BB1A4">
            <w:pPr>
              <w:widowControl w:val="0"/>
              <w:spacing w:before="137" w:line="238" w:lineRule="auto"/>
              <w:ind w:left="248"/>
              <w:rPr>
                <w:rFonts w:hint="eastAsia" w:ascii="仿宋" w:hAnsi="仿宋" w:eastAsia="仿宋" w:cs="仿宋"/>
                <w:sz w:val="24"/>
                <w:szCs w:val="24"/>
              </w:rPr>
            </w:pPr>
          </w:p>
        </w:tc>
        <w:tc>
          <w:tcPr>
            <w:tcW w:w="874" w:type="pct"/>
          </w:tcPr>
          <w:p w14:paraId="741A9B8B">
            <w:pPr>
              <w:widowControl w:val="0"/>
              <w:spacing w:before="137" w:line="218" w:lineRule="auto"/>
              <w:ind w:firstLine="234" w:firstLineChars="100"/>
              <w:rPr>
                <w:rFonts w:hint="eastAsia" w:ascii="仿宋" w:hAnsi="仿宋" w:eastAsia="仿宋" w:cs="仿宋"/>
                <w:sz w:val="24"/>
                <w:szCs w:val="24"/>
              </w:rPr>
            </w:pPr>
            <w:r>
              <w:rPr>
                <w:rFonts w:hint="eastAsia" w:ascii="仿宋" w:hAnsi="仿宋" w:eastAsia="仿宋" w:cs="仿宋"/>
                <w:spacing w:val="-3"/>
                <w:sz w:val="24"/>
                <w:szCs w:val="24"/>
                <w:lang w:eastAsia="zh-CN"/>
              </w:rPr>
              <w:t>设计人员</w:t>
            </w:r>
          </w:p>
        </w:tc>
        <w:tc>
          <w:tcPr>
            <w:tcW w:w="416" w:type="pct"/>
          </w:tcPr>
          <w:p w14:paraId="3BCE21D3"/>
        </w:tc>
        <w:tc>
          <w:tcPr>
            <w:tcW w:w="560" w:type="pct"/>
          </w:tcPr>
          <w:p w14:paraId="6DF47F14"/>
        </w:tc>
        <w:tc>
          <w:tcPr>
            <w:tcW w:w="632" w:type="pct"/>
          </w:tcPr>
          <w:p w14:paraId="57BC23E4"/>
        </w:tc>
        <w:tc>
          <w:tcPr>
            <w:tcW w:w="541" w:type="pct"/>
          </w:tcPr>
          <w:p w14:paraId="67B9C4F5"/>
        </w:tc>
        <w:tc>
          <w:tcPr>
            <w:tcW w:w="506" w:type="pct"/>
          </w:tcPr>
          <w:p w14:paraId="5CC5D0C1"/>
        </w:tc>
        <w:tc>
          <w:tcPr>
            <w:tcW w:w="514" w:type="pct"/>
          </w:tcPr>
          <w:p w14:paraId="2BE66F94"/>
        </w:tc>
        <w:tc>
          <w:tcPr>
            <w:tcW w:w="557" w:type="pct"/>
          </w:tcPr>
          <w:p w14:paraId="42535715"/>
        </w:tc>
      </w:tr>
      <w:tr w14:paraId="44AF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95" w:type="pct"/>
          </w:tcPr>
          <w:p w14:paraId="54E2AEB6">
            <w:pPr>
              <w:widowControl w:val="0"/>
              <w:spacing w:before="137" w:line="238" w:lineRule="auto"/>
              <w:ind w:left="248"/>
              <w:rPr>
                <w:rFonts w:hint="eastAsia" w:ascii="仿宋" w:hAnsi="仿宋" w:eastAsia="仿宋" w:cs="仿宋"/>
                <w:sz w:val="24"/>
                <w:szCs w:val="24"/>
              </w:rPr>
            </w:pPr>
          </w:p>
        </w:tc>
        <w:tc>
          <w:tcPr>
            <w:tcW w:w="874" w:type="pct"/>
          </w:tcPr>
          <w:p w14:paraId="17555F1A">
            <w:pPr>
              <w:widowControl w:val="0"/>
              <w:spacing w:before="137" w:line="218" w:lineRule="auto"/>
              <w:ind w:left="302" w:firstLine="234" w:firstLineChars="100"/>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w:t>
            </w:r>
          </w:p>
        </w:tc>
        <w:tc>
          <w:tcPr>
            <w:tcW w:w="416" w:type="pct"/>
          </w:tcPr>
          <w:p w14:paraId="412E19E6"/>
        </w:tc>
        <w:tc>
          <w:tcPr>
            <w:tcW w:w="560" w:type="pct"/>
          </w:tcPr>
          <w:p w14:paraId="20A461E6"/>
        </w:tc>
        <w:tc>
          <w:tcPr>
            <w:tcW w:w="632" w:type="pct"/>
          </w:tcPr>
          <w:p w14:paraId="5D4C8A1F"/>
        </w:tc>
        <w:tc>
          <w:tcPr>
            <w:tcW w:w="541" w:type="pct"/>
          </w:tcPr>
          <w:p w14:paraId="5C5BB1BC"/>
        </w:tc>
        <w:tc>
          <w:tcPr>
            <w:tcW w:w="506" w:type="pct"/>
          </w:tcPr>
          <w:p w14:paraId="44BE5768"/>
        </w:tc>
        <w:tc>
          <w:tcPr>
            <w:tcW w:w="514" w:type="pct"/>
          </w:tcPr>
          <w:p w14:paraId="552C1004"/>
        </w:tc>
        <w:tc>
          <w:tcPr>
            <w:tcW w:w="557" w:type="pct"/>
          </w:tcPr>
          <w:p w14:paraId="166F3E20"/>
        </w:tc>
      </w:tr>
      <w:tr w14:paraId="10EF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95" w:type="pct"/>
          </w:tcPr>
          <w:p w14:paraId="0AD9374F">
            <w:pPr>
              <w:widowControl w:val="0"/>
              <w:spacing w:before="137" w:line="237" w:lineRule="auto"/>
              <w:ind w:left="250"/>
              <w:rPr>
                <w:rFonts w:hint="eastAsia" w:ascii="仿宋" w:hAnsi="仿宋" w:eastAsia="仿宋" w:cs="仿宋"/>
                <w:sz w:val="24"/>
                <w:szCs w:val="24"/>
                <w:lang w:eastAsia="zh-CN"/>
              </w:rPr>
            </w:pPr>
            <w:r>
              <w:rPr>
                <w:rFonts w:hint="eastAsia" w:ascii="仿宋" w:hAnsi="仿宋" w:eastAsia="仿宋" w:cs="仿宋"/>
                <w:sz w:val="24"/>
                <w:szCs w:val="24"/>
                <w:lang w:eastAsia="zh-CN"/>
              </w:rPr>
              <w:t>二</w:t>
            </w:r>
          </w:p>
        </w:tc>
        <w:tc>
          <w:tcPr>
            <w:tcW w:w="874" w:type="pct"/>
          </w:tcPr>
          <w:p w14:paraId="4A2B8613">
            <w:pPr>
              <w:widowControl w:val="0"/>
              <w:spacing w:before="137" w:line="218" w:lineRule="auto"/>
              <w:ind w:left="302"/>
              <w:rPr>
                <w:rFonts w:hint="eastAsia" w:ascii="仿宋" w:hAnsi="仿宋" w:eastAsia="仿宋" w:cs="仿宋"/>
                <w:sz w:val="24"/>
                <w:szCs w:val="24"/>
                <w:lang w:eastAsia="zh-CN"/>
              </w:rPr>
            </w:pPr>
            <w:r>
              <w:rPr>
                <w:rFonts w:ascii="仿宋" w:hAnsi="仿宋" w:eastAsia="仿宋" w:cs="仿宋"/>
                <w:spacing w:val="-24"/>
                <w:sz w:val="24"/>
                <w:szCs w:val="24"/>
              </w:rPr>
              <w:t>项目经理</w:t>
            </w:r>
          </w:p>
        </w:tc>
        <w:tc>
          <w:tcPr>
            <w:tcW w:w="416" w:type="pct"/>
          </w:tcPr>
          <w:p w14:paraId="02C35F79"/>
        </w:tc>
        <w:tc>
          <w:tcPr>
            <w:tcW w:w="560" w:type="pct"/>
          </w:tcPr>
          <w:p w14:paraId="1C324CE5"/>
        </w:tc>
        <w:tc>
          <w:tcPr>
            <w:tcW w:w="632" w:type="pct"/>
          </w:tcPr>
          <w:p w14:paraId="50BCBFEA"/>
        </w:tc>
        <w:tc>
          <w:tcPr>
            <w:tcW w:w="541" w:type="pct"/>
          </w:tcPr>
          <w:p w14:paraId="741B52DD"/>
        </w:tc>
        <w:tc>
          <w:tcPr>
            <w:tcW w:w="506" w:type="pct"/>
          </w:tcPr>
          <w:p w14:paraId="5746E6D7"/>
        </w:tc>
        <w:tc>
          <w:tcPr>
            <w:tcW w:w="514" w:type="pct"/>
          </w:tcPr>
          <w:p w14:paraId="56129800"/>
        </w:tc>
        <w:tc>
          <w:tcPr>
            <w:tcW w:w="557" w:type="pct"/>
          </w:tcPr>
          <w:p w14:paraId="225E264C"/>
        </w:tc>
      </w:tr>
      <w:tr w14:paraId="2B0E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395" w:type="pct"/>
          </w:tcPr>
          <w:p w14:paraId="605C35D5">
            <w:pPr>
              <w:widowControl w:val="0"/>
              <w:spacing w:before="137" w:line="238" w:lineRule="auto"/>
              <w:ind w:left="244"/>
              <w:rPr>
                <w:rFonts w:hint="eastAsia" w:ascii="仿宋" w:hAnsi="仿宋" w:eastAsia="仿宋" w:cs="仿宋"/>
                <w:sz w:val="24"/>
                <w:szCs w:val="24"/>
              </w:rPr>
            </w:pPr>
          </w:p>
        </w:tc>
        <w:tc>
          <w:tcPr>
            <w:tcW w:w="874" w:type="pct"/>
          </w:tcPr>
          <w:p w14:paraId="4C8A1427">
            <w:pPr>
              <w:widowControl w:val="0"/>
              <w:spacing w:before="137" w:line="218" w:lineRule="auto"/>
              <w:ind w:firstLine="234" w:firstLineChars="100"/>
              <w:rPr>
                <w:rFonts w:hint="eastAsia" w:ascii="仿宋" w:hAnsi="仿宋" w:eastAsia="仿宋" w:cs="仿宋"/>
                <w:sz w:val="24"/>
                <w:szCs w:val="24"/>
              </w:rPr>
            </w:pPr>
            <w:r>
              <w:rPr>
                <w:rFonts w:ascii="仿宋" w:hAnsi="仿宋" w:eastAsia="仿宋" w:cs="仿宋"/>
                <w:spacing w:val="-3"/>
                <w:sz w:val="24"/>
                <w:szCs w:val="24"/>
              </w:rPr>
              <w:t>技术负责人</w:t>
            </w:r>
          </w:p>
        </w:tc>
        <w:tc>
          <w:tcPr>
            <w:tcW w:w="416" w:type="pct"/>
          </w:tcPr>
          <w:p w14:paraId="68340BF5"/>
        </w:tc>
        <w:tc>
          <w:tcPr>
            <w:tcW w:w="560" w:type="pct"/>
          </w:tcPr>
          <w:p w14:paraId="2FBBB682"/>
        </w:tc>
        <w:tc>
          <w:tcPr>
            <w:tcW w:w="632" w:type="pct"/>
          </w:tcPr>
          <w:p w14:paraId="4F556068"/>
        </w:tc>
        <w:tc>
          <w:tcPr>
            <w:tcW w:w="541" w:type="pct"/>
          </w:tcPr>
          <w:p w14:paraId="1960650D"/>
        </w:tc>
        <w:tc>
          <w:tcPr>
            <w:tcW w:w="506" w:type="pct"/>
          </w:tcPr>
          <w:p w14:paraId="22117373"/>
        </w:tc>
        <w:tc>
          <w:tcPr>
            <w:tcW w:w="514" w:type="pct"/>
          </w:tcPr>
          <w:p w14:paraId="1286C072"/>
        </w:tc>
        <w:tc>
          <w:tcPr>
            <w:tcW w:w="557" w:type="pct"/>
          </w:tcPr>
          <w:p w14:paraId="56919BB2"/>
        </w:tc>
      </w:tr>
      <w:tr w14:paraId="1108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95" w:type="pct"/>
          </w:tcPr>
          <w:p w14:paraId="754F2E71">
            <w:pPr>
              <w:widowControl w:val="0"/>
              <w:spacing w:before="123" w:line="237" w:lineRule="auto"/>
              <w:ind w:left="250"/>
              <w:rPr>
                <w:rFonts w:hint="eastAsia" w:ascii="仿宋" w:hAnsi="仿宋" w:eastAsia="仿宋" w:cs="仿宋"/>
                <w:sz w:val="24"/>
                <w:szCs w:val="24"/>
              </w:rPr>
            </w:pPr>
          </w:p>
        </w:tc>
        <w:tc>
          <w:tcPr>
            <w:tcW w:w="874" w:type="pct"/>
          </w:tcPr>
          <w:p w14:paraId="79B5AAF2">
            <w:pPr>
              <w:widowControl w:val="0"/>
              <w:spacing w:before="123" w:line="218" w:lineRule="auto"/>
              <w:ind w:firstLine="464" w:firstLineChars="200"/>
              <w:rPr>
                <w:rFonts w:hint="eastAsia" w:ascii="仿宋" w:hAnsi="仿宋" w:eastAsia="仿宋" w:cs="仿宋"/>
                <w:sz w:val="24"/>
                <w:szCs w:val="24"/>
              </w:rPr>
            </w:pPr>
            <w:r>
              <w:rPr>
                <w:rFonts w:ascii="仿宋" w:hAnsi="仿宋" w:eastAsia="仿宋" w:cs="仿宋"/>
                <w:spacing w:val="-4"/>
                <w:sz w:val="24"/>
                <w:szCs w:val="24"/>
              </w:rPr>
              <w:t>施工员</w:t>
            </w:r>
          </w:p>
        </w:tc>
        <w:tc>
          <w:tcPr>
            <w:tcW w:w="416" w:type="pct"/>
          </w:tcPr>
          <w:p w14:paraId="496BF688"/>
        </w:tc>
        <w:tc>
          <w:tcPr>
            <w:tcW w:w="560" w:type="pct"/>
          </w:tcPr>
          <w:p w14:paraId="4DDD998B"/>
        </w:tc>
        <w:tc>
          <w:tcPr>
            <w:tcW w:w="632" w:type="pct"/>
          </w:tcPr>
          <w:p w14:paraId="4958570A"/>
        </w:tc>
        <w:tc>
          <w:tcPr>
            <w:tcW w:w="541" w:type="pct"/>
          </w:tcPr>
          <w:p w14:paraId="5D1009E6"/>
        </w:tc>
        <w:tc>
          <w:tcPr>
            <w:tcW w:w="506" w:type="pct"/>
          </w:tcPr>
          <w:p w14:paraId="4B58B2A4"/>
        </w:tc>
        <w:tc>
          <w:tcPr>
            <w:tcW w:w="514" w:type="pct"/>
          </w:tcPr>
          <w:p w14:paraId="24CA219C"/>
        </w:tc>
        <w:tc>
          <w:tcPr>
            <w:tcW w:w="557" w:type="pct"/>
          </w:tcPr>
          <w:p w14:paraId="797823F4"/>
        </w:tc>
      </w:tr>
      <w:tr w14:paraId="54BC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395" w:type="pct"/>
          </w:tcPr>
          <w:p w14:paraId="0226E458">
            <w:pPr>
              <w:widowControl w:val="0"/>
              <w:spacing w:before="272" w:line="237" w:lineRule="auto"/>
              <w:ind w:left="247"/>
              <w:rPr>
                <w:rFonts w:hint="eastAsia" w:ascii="仿宋" w:hAnsi="仿宋" w:eastAsia="仿宋" w:cs="仿宋"/>
                <w:sz w:val="24"/>
                <w:szCs w:val="24"/>
              </w:rPr>
            </w:pPr>
          </w:p>
        </w:tc>
        <w:tc>
          <w:tcPr>
            <w:tcW w:w="874" w:type="pct"/>
          </w:tcPr>
          <w:p w14:paraId="2912C41C">
            <w:pPr>
              <w:widowControl w:val="0"/>
              <w:spacing w:before="117" w:line="241" w:lineRule="auto"/>
              <w:ind w:right="125" w:firstLine="464" w:firstLineChars="200"/>
              <w:rPr>
                <w:rFonts w:hint="eastAsia" w:ascii="仿宋" w:hAnsi="仿宋" w:eastAsia="仿宋" w:cs="仿宋"/>
                <w:sz w:val="24"/>
                <w:szCs w:val="24"/>
              </w:rPr>
            </w:pPr>
            <w:r>
              <w:rPr>
                <w:rFonts w:ascii="仿宋" w:hAnsi="仿宋" w:eastAsia="仿宋" w:cs="仿宋"/>
                <w:spacing w:val="-4"/>
                <w:sz w:val="24"/>
                <w:szCs w:val="24"/>
              </w:rPr>
              <w:t>施工员</w:t>
            </w:r>
          </w:p>
        </w:tc>
        <w:tc>
          <w:tcPr>
            <w:tcW w:w="416" w:type="pct"/>
          </w:tcPr>
          <w:p w14:paraId="4FFA2C3B"/>
        </w:tc>
        <w:tc>
          <w:tcPr>
            <w:tcW w:w="560" w:type="pct"/>
          </w:tcPr>
          <w:p w14:paraId="4B7FBDE8"/>
        </w:tc>
        <w:tc>
          <w:tcPr>
            <w:tcW w:w="632" w:type="pct"/>
          </w:tcPr>
          <w:p w14:paraId="7EA54B63"/>
        </w:tc>
        <w:tc>
          <w:tcPr>
            <w:tcW w:w="541" w:type="pct"/>
          </w:tcPr>
          <w:p w14:paraId="264A1A90"/>
        </w:tc>
        <w:tc>
          <w:tcPr>
            <w:tcW w:w="506" w:type="pct"/>
          </w:tcPr>
          <w:p w14:paraId="03E9DB0F"/>
        </w:tc>
        <w:tc>
          <w:tcPr>
            <w:tcW w:w="514" w:type="pct"/>
          </w:tcPr>
          <w:p w14:paraId="3D8592A2"/>
        </w:tc>
        <w:tc>
          <w:tcPr>
            <w:tcW w:w="557" w:type="pct"/>
          </w:tcPr>
          <w:p w14:paraId="485735EE"/>
        </w:tc>
      </w:tr>
      <w:tr w14:paraId="18793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95" w:type="pct"/>
          </w:tcPr>
          <w:p w14:paraId="691ACA72">
            <w:pPr>
              <w:widowControl w:val="0"/>
              <w:spacing w:before="124" w:line="237" w:lineRule="auto"/>
              <w:ind w:left="251"/>
              <w:rPr>
                <w:rFonts w:hint="eastAsia" w:ascii="仿宋" w:hAnsi="仿宋" w:eastAsia="仿宋" w:cs="仿宋"/>
                <w:sz w:val="24"/>
                <w:szCs w:val="24"/>
              </w:rPr>
            </w:pPr>
          </w:p>
        </w:tc>
        <w:tc>
          <w:tcPr>
            <w:tcW w:w="874" w:type="pct"/>
          </w:tcPr>
          <w:p w14:paraId="43D55779">
            <w:pPr>
              <w:widowControl w:val="0"/>
              <w:spacing w:before="145" w:line="220" w:lineRule="auto"/>
              <w:ind w:left="429"/>
              <w:rPr>
                <w:rFonts w:hint="eastAsia" w:ascii="仿宋" w:hAnsi="仿宋" w:eastAsia="仿宋" w:cs="仿宋"/>
                <w:sz w:val="24"/>
                <w:szCs w:val="24"/>
              </w:rPr>
            </w:pPr>
            <w:r>
              <w:rPr>
                <w:rFonts w:ascii="仿宋" w:hAnsi="仿宋" w:eastAsia="仿宋" w:cs="仿宋"/>
                <w:spacing w:val="-5"/>
                <w:sz w:val="24"/>
                <w:szCs w:val="24"/>
              </w:rPr>
              <w:t>质量员</w:t>
            </w:r>
          </w:p>
        </w:tc>
        <w:tc>
          <w:tcPr>
            <w:tcW w:w="416" w:type="pct"/>
          </w:tcPr>
          <w:p w14:paraId="6A89918C"/>
        </w:tc>
        <w:tc>
          <w:tcPr>
            <w:tcW w:w="560" w:type="pct"/>
          </w:tcPr>
          <w:p w14:paraId="3AA1AAD6"/>
        </w:tc>
        <w:tc>
          <w:tcPr>
            <w:tcW w:w="632" w:type="pct"/>
          </w:tcPr>
          <w:p w14:paraId="67239AB2"/>
        </w:tc>
        <w:tc>
          <w:tcPr>
            <w:tcW w:w="541" w:type="pct"/>
          </w:tcPr>
          <w:p w14:paraId="5BF29F64"/>
        </w:tc>
        <w:tc>
          <w:tcPr>
            <w:tcW w:w="506" w:type="pct"/>
          </w:tcPr>
          <w:p w14:paraId="05D99B6B"/>
        </w:tc>
        <w:tc>
          <w:tcPr>
            <w:tcW w:w="514" w:type="pct"/>
          </w:tcPr>
          <w:p w14:paraId="082C146B"/>
        </w:tc>
        <w:tc>
          <w:tcPr>
            <w:tcW w:w="557" w:type="pct"/>
          </w:tcPr>
          <w:p w14:paraId="1E17F75C"/>
        </w:tc>
      </w:tr>
      <w:tr w14:paraId="3B40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95" w:type="pct"/>
          </w:tcPr>
          <w:p w14:paraId="7D53E4DF">
            <w:pPr>
              <w:widowControl w:val="0"/>
              <w:spacing w:before="143" w:line="237" w:lineRule="auto"/>
              <w:ind w:left="246"/>
              <w:rPr>
                <w:rFonts w:hint="eastAsia" w:ascii="仿宋" w:hAnsi="仿宋" w:eastAsia="仿宋" w:cs="仿宋"/>
                <w:sz w:val="24"/>
                <w:szCs w:val="24"/>
              </w:rPr>
            </w:pPr>
          </w:p>
        </w:tc>
        <w:tc>
          <w:tcPr>
            <w:tcW w:w="874" w:type="pct"/>
          </w:tcPr>
          <w:p w14:paraId="16802D02">
            <w:pPr>
              <w:widowControl w:val="0"/>
              <w:spacing w:before="145" w:line="220" w:lineRule="auto"/>
              <w:ind w:left="429"/>
              <w:rPr>
                <w:rFonts w:hint="eastAsia" w:ascii="仿宋" w:hAnsi="仿宋" w:eastAsia="仿宋" w:cs="仿宋"/>
                <w:sz w:val="24"/>
                <w:szCs w:val="24"/>
              </w:rPr>
            </w:pPr>
            <w:r>
              <w:rPr>
                <w:rFonts w:ascii="仿宋" w:hAnsi="仿宋" w:eastAsia="仿宋" w:cs="仿宋"/>
                <w:spacing w:val="-5"/>
                <w:sz w:val="24"/>
                <w:szCs w:val="24"/>
              </w:rPr>
              <w:t>质量员</w:t>
            </w:r>
          </w:p>
        </w:tc>
        <w:tc>
          <w:tcPr>
            <w:tcW w:w="416" w:type="pct"/>
          </w:tcPr>
          <w:p w14:paraId="4E4B7214"/>
        </w:tc>
        <w:tc>
          <w:tcPr>
            <w:tcW w:w="560" w:type="pct"/>
          </w:tcPr>
          <w:p w14:paraId="3F6446A0"/>
        </w:tc>
        <w:tc>
          <w:tcPr>
            <w:tcW w:w="632" w:type="pct"/>
          </w:tcPr>
          <w:p w14:paraId="04F64E68"/>
        </w:tc>
        <w:tc>
          <w:tcPr>
            <w:tcW w:w="541" w:type="pct"/>
          </w:tcPr>
          <w:p w14:paraId="782A9CEE"/>
        </w:tc>
        <w:tc>
          <w:tcPr>
            <w:tcW w:w="506" w:type="pct"/>
          </w:tcPr>
          <w:p w14:paraId="15D35CA9"/>
        </w:tc>
        <w:tc>
          <w:tcPr>
            <w:tcW w:w="514" w:type="pct"/>
          </w:tcPr>
          <w:p w14:paraId="68967F28"/>
        </w:tc>
        <w:tc>
          <w:tcPr>
            <w:tcW w:w="557" w:type="pct"/>
          </w:tcPr>
          <w:p w14:paraId="70991179"/>
        </w:tc>
      </w:tr>
      <w:tr w14:paraId="54DA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95" w:type="pct"/>
          </w:tcPr>
          <w:p w14:paraId="298C1349">
            <w:pPr>
              <w:widowControl w:val="0"/>
              <w:spacing w:before="144" w:line="237" w:lineRule="auto"/>
              <w:ind w:left="246"/>
              <w:rPr>
                <w:rFonts w:hint="eastAsia" w:ascii="仿宋" w:hAnsi="仿宋" w:eastAsia="仿宋" w:cs="仿宋"/>
                <w:sz w:val="24"/>
                <w:szCs w:val="24"/>
              </w:rPr>
            </w:pPr>
          </w:p>
        </w:tc>
        <w:tc>
          <w:tcPr>
            <w:tcW w:w="874" w:type="pct"/>
          </w:tcPr>
          <w:p w14:paraId="7DCCA824">
            <w:pPr>
              <w:widowControl w:val="0"/>
              <w:spacing w:before="145" w:line="220" w:lineRule="auto"/>
              <w:ind w:left="426"/>
              <w:rPr>
                <w:rFonts w:hint="eastAsia" w:ascii="仿宋" w:hAnsi="仿宋" w:eastAsia="仿宋" w:cs="仿宋"/>
                <w:sz w:val="24"/>
                <w:szCs w:val="24"/>
              </w:rPr>
            </w:pPr>
            <w:r>
              <w:rPr>
                <w:rFonts w:ascii="仿宋" w:hAnsi="仿宋" w:eastAsia="仿宋" w:cs="仿宋"/>
                <w:spacing w:val="-5"/>
                <w:sz w:val="24"/>
                <w:szCs w:val="24"/>
              </w:rPr>
              <w:t>安全员</w:t>
            </w:r>
          </w:p>
        </w:tc>
        <w:tc>
          <w:tcPr>
            <w:tcW w:w="416" w:type="pct"/>
          </w:tcPr>
          <w:p w14:paraId="2F5B5801"/>
        </w:tc>
        <w:tc>
          <w:tcPr>
            <w:tcW w:w="560" w:type="pct"/>
          </w:tcPr>
          <w:p w14:paraId="5E4BD9A1"/>
        </w:tc>
        <w:tc>
          <w:tcPr>
            <w:tcW w:w="632" w:type="pct"/>
          </w:tcPr>
          <w:p w14:paraId="1EE8E954"/>
        </w:tc>
        <w:tc>
          <w:tcPr>
            <w:tcW w:w="541" w:type="pct"/>
          </w:tcPr>
          <w:p w14:paraId="684C0E4F"/>
        </w:tc>
        <w:tc>
          <w:tcPr>
            <w:tcW w:w="506" w:type="pct"/>
          </w:tcPr>
          <w:p w14:paraId="48CDE1E3"/>
        </w:tc>
        <w:tc>
          <w:tcPr>
            <w:tcW w:w="514" w:type="pct"/>
          </w:tcPr>
          <w:p w14:paraId="1D5F9E9A"/>
        </w:tc>
        <w:tc>
          <w:tcPr>
            <w:tcW w:w="557" w:type="pct"/>
          </w:tcPr>
          <w:p w14:paraId="78544B50"/>
        </w:tc>
      </w:tr>
      <w:tr w14:paraId="2DE8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95" w:type="pct"/>
          </w:tcPr>
          <w:p w14:paraId="54C7FD1F">
            <w:pPr>
              <w:widowControl w:val="0"/>
              <w:spacing w:before="144" w:line="237" w:lineRule="auto"/>
              <w:ind w:left="203"/>
              <w:rPr>
                <w:rFonts w:hint="eastAsia" w:ascii="仿宋" w:hAnsi="仿宋" w:eastAsia="仿宋" w:cs="仿宋"/>
                <w:sz w:val="24"/>
                <w:szCs w:val="24"/>
              </w:rPr>
            </w:pPr>
          </w:p>
        </w:tc>
        <w:tc>
          <w:tcPr>
            <w:tcW w:w="874" w:type="pct"/>
          </w:tcPr>
          <w:p w14:paraId="17465F7D">
            <w:pPr>
              <w:widowControl w:val="0"/>
              <w:spacing w:before="146" w:line="220" w:lineRule="auto"/>
              <w:ind w:left="426"/>
              <w:rPr>
                <w:rFonts w:hint="eastAsia" w:ascii="仿宋" w:hAnsi="仿宋" w:eastAsia="仿宋" w:cs="仿宋"/>
                <w:sz w:val="24"/>
                <w:szCs w:val="24"/>
              </w:rPr>
            </w:pPr>
            <w:r>
              <w:rPr>
                <w:rFonts w:ascii="仿宋" w:hAnsi="仿宋" w:eastAsia="仿宋" w:cs="仿宋"/>
                <w:spacing w:val="-5"/>
                <w:sz w:val="24"/>
                <w:szCs w:val="24"/>
              </w:rPr>
              <w:t>安全员</w:t>
            </w:r>
          </w:p>
        </w:tc>
        <w:tc>
          <w:tcPr>
            <w:tcW w:w="416" w:type="pct"/>
          </w:tcPr>
          <w:p w14:paraId="01C9EDFE"/>
        </w:tc>
        <w:tc>
          <w:tcPr>
            <w:tcW w:w="560" w:type="pct"/>
          </w:tcPr>
          <w:p w14:paraId="3ABBE9DD"/>
        </w:tc>
        <w:tc>
          <w:tcPr>
            <w:tcW w:w="632" w:type="pct"/>
          </w:tcPr>
          <w:p w14:paraId="56078CCB"/>
        </w:tc>
        <w:tc>
          <w:tcPr>
            <w:tcW w:w="541" w:type="pct"/>
          </w:tcPr>
          <w:p w14:paraId="7AB1197D"/>
        </w:tc>
        <w:tc>
          <w:tcPr>
            <w:tcW w:w="506" w:type="pct"/>
          </w:tcPr>
          <w:p w14:paraId="772BD721"/>
        </w:tc>
        <w:tc>
          <w:tcPr>
            <w:tcW w:w="514" w:type="pct"/>
          </w:tcPr>
          <w:p w14:paraId="67E8FD9A"/>
        </w:tc>
        <w:tc>
          <w:tcPr>
            <w:tcW w:w="557" w:type="pct"/>
          </w:tcPr>
          <w:p w14:paraId="7055FD72"/>
        </w:tc>
      </w:tr>
      <w:tr w14:paraId="23A0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 w:hRule="atLeast"/>
        </w:trPr>
        <w:tc>
          <w:tcPr>
            <w:tcW w:w="395" w:type="pct"/>
          </w:tcPr>
          <w:p w14:paraId="5BB1056C">
            <w:pPr>
              <w:widowControl w:val="0"/>
              <w:spacing w:before="145" w:line="238" w:lineRule="auto"/>
              <w:ind w:left="203"/>
              <w:rPr>
                <w:rFonts w:hint="eastAsia" w:ascii="仿宋" w:hAnsi="仿宋" w:eastAsia="仿宋" w:cs="仿宋"/>
                <w:sz w:val="24"/>
                <w:szCs w:val="24"/>
              </w:rPr>
            </w:pPr>
          </w:p>
        </w:tc>
        <w:tc>
          <w:tcPr>
            <w:tcW w:w="874" w:type="pct"/>
          </w:tcPr>
          <w:p w14:paraId="3129DDE5">
            <w:pPr>
              <w:widowControl w:val="0"/>
              <w:spacing w:before="146" w:line="216" w:lineRule="auto"/>
              <w:ind w:left="435"/>
              <w:rPr>
                <w:rFonts w:hint="eastAsia" w:ascii="仿宋" w:hAnsi="仿宋" w:eastAsia="仿宋" w:cs="仿宋"/>
                <w:sz w:val="24"/>
                <w:szCs w:val="24"/>
              </w:rPr>
            </w:pPr>
            <w:r>
              <w:rPr>
                <w:rFonts w:ascii="仿宋" w:hAnsi="仿宋" w:eastAsia="仿宋" w:cs="仿宋"/>
                <w:spacing w:val="-7"/>
                <w:sz w:val="24"/>
                <w:szCs w:val="24"/>
              </w:rPr>
              <w:t>资料员</w:t>
            </w:r>
          </w:p>
        </w:tc>
        <w:tc>
          <w:tcPr>
            <w:tcW w:w="416" w:type="pct"/>
          </w:tcPr>
          <w:p w14:paraId="2E3275FB"/>
        </w:tc>
        <w:tc>
          <w:tcPr>
            <w:tcW w:w="560" w:type="pct"/>
          </w:tcPr>
          <w:p w14:paraId="60E4E537"/>
        </w:tc>
        <w:tc>
          <w:tcPr>
            <w:tcW w:w="632" w:type="pct"/>
          </w:tcPr>
          <w:p w14:paraId="483A5050"/>
        </w:tc>
        <w:tc>
          <w:tcPr>
            <w:tcW w:w="541" w:type="pct"/>
          </w:tcPr>
          <w:p w14:paraId="0027E508"/>
        </w:tc>
        <w:tc>
          <w:tcPr>
            <w:tcW w:w="506" w:type="pct"/>
          </w:tcPr>
          <w:p w14:paraId="158A20D3"/>
        </w:tc>
        <w:tc>
          <w:tcPr>
            <w:tcW w:w="514" w:type="pct"/>
          </w:tcPr>
          <w:p w14:paraId="6F1A0BFA"/>
        </w:tc>
        <w:tc>
          <w:tcPr>
            <w:tcW w:w="557" w:type="pct"/>
          </w:tcPr>
          <w:p w14:paraId="554A6F69"/>
        </w:tc>
      </w:tr>
      <w:tr w14:paraId="6551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95" w:type="pct"/>
          </w:tcPr>
          <w:p w14:paraId="6F225CB3">
            <w:pPr>
              <w:widowControl w:val="0"/>
              <w:spacing w:before="146" w:line="238" w:lineRule="auto"/>
              <w:ind w:left="203"/>
              <w:rPr>
                <w:rFonts w:hint="eastAsia" w:ascii="仿宋" w:hAnsi="仿宋" w:eastAsia="仿宋" w:cs="仿宋"/>
                <w:sz w:val="24"/>
                <w:szCs w:val="24"/>
              </w:rPr>
            </w:pPr>
          </w:p>
        </w:tc>
        <w:tc>
          <w:tcPr>
            <w:tcW w:w="874" w:type="pct"/>
          </w:tcPr>
          <w:p w14:paraId="144B2E4D">
            <w:pPr>
              <w:widowControl w:val="0"/>
              <w:spacing w:before="41" w:line="215" w:lineRule="auto"/>
              <w:ind w:left="119"/>
              <w:rPr>
                <w:rFonts w:hint="eastAsia" w:ascii="仿宋" w:hAnsi="仿宋" w:eastAsia="仿宋" w:cs="仿宋"/>
                <w:sz w:val="24"/>
                <w:szCs w:val="24"/>
              </w:rPr>
            </w:pPr>
            <w:r>
              <w:rPr>
                <w:rFonts w:ascii="仿宋" w:hAnsi="仿宋" w:eastAsia="仿宋" w:cs="仿宋"/>
                <w:spacing w:val="-17"/>
                <w:sz w:val="24"/>
                <w:szCs w:val="24"/>
              </w:rPr>
              <w:t>取样员（可兼</w:t>
            </w:r>
          </w:p>
          <w:p w14:paraId="233BE969">
            <w:pPr>
              <w:widowControl w:val="0"/>
              <w:spacing w:before="32" w:line="209" w:lineRule="auto"/>
              <w:ind w:left="543"/>
              <w:rPr>
                <w:rFonts w:hint="eastAsia" w:ascii="仿宋" w:hAnsi="仿宋" w:eastAsia="仿宋" w:cs="仿宋"/>
                <w:sz w:val="24"/>
                <w:szCs w:val="24"/>
              </w:rPr>
            </w:pPr>
            <w:r>
              <w:rPr>
                <w:rFonts w:ascii="仿宋" w:hAnsi="仿宋" w:eastAsia="仿宋" w:cs="仿宋"/>
                <w:spacing w:val="-8"/>
                <w:sz w:val="24"/>
                <w:szCs w:val="24"/>
              </w:rPr>
              <w:t>任）</w:t>
            </w:r>
          </w:p>
        </w:tc>
        <w:tc>
          <w:tcPr>
            <w:tcW w:w="416" w:type="pct"/>
          </w:tcPr>
          <w:p w14:paraId="4C7625C7"/>
        </w:tc>
        <w:tc>
          <w:tcPr>
            <w:tcW w:w="560" w:type="pct"/>
          </w:tcPr>
          <w:p w14:paraId="6B942BD1"/>
        </w:tc>
        <w:tc>
          <w:tcPr>
            <w:tcW w:w="632" w:type="pct"/>
          </w:tcPr>
          <w:p w14:paraId="2E61D9AD"/>
        </w:tc>
        <w:tc>
          <w:tcPr>
            <w:tcW w:w="541" w:type="pct"/>
          </w:tcPr>
          <w:p w14:paraId="7AE89949"/>
        </w:tc>
        <w:tc>
          <w:tcPr>
            <w:tcW w:w="506" w:type="pct"/>
          </w:tcPr>
          <w:p w14:paraId="484D84BF"/>
        </w:tc>
        <w:tc>
          <w:tcPr>
            <w:tcW w:w="514" w:type="pct"/>
          </w:tcPr>
          <w:p w14:paraId="60EA7DB5"/>
        </w:tc>
        <w:tc>
          <w:tcPr>
            <w:tcW w:w="557" w:type="pct"/>
          </w:tcPr>
          <w:p w14:paraId="1EE57F4B"/>
        </w:tc>
      </w:tr>
      <w:tr w14:paraId="4919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395" w:type="pct"/>
          </w:tcPr>
          <w:p w14:paraId="74799A57">
            <w:pPr>
              <w:widowControl w:val="0"/>
              <w:spacing w:before="146" w:line="237" w:lineRule="auto"/>
              <w:ind w:left="203"/>
              <w:rPr>
                <w:rFonts w:hint="eastAsia" w:ascii="仿宋" w:hAnsi="仿宋" w:eastAsia="仿宋" w:cs="仿宋"/>
                <w:sz w:val="24"/>
                <w:szCs w:val="24"/>
              </w:rPr>
            </w:pPr>
          </w:p>
        </w:tc>
        <w:tc>
          <w:tcPr>
            <w:tcW w:w="874" w:type="pct"/>
          </w:tcPr>
          <w:p w14:paraId="7822E63A">
            <w:pPr>
              <w:widowControl w:val="0"/>
              <w:spacing w:before="146" w:line="220" w:lineRule="auto"/>
              <w:ind w:left="426"/>
              <w:rPr>
                <w:rFonts w:hint="eastAsia" w:ascii="仿宋" w:hAnsi="仿宋" w:eastAsia="仿宋" w:cs="仿宋"/>
                <w:sz w:val="24"/>
                <w:szCs w:val="24"/>
              </w:rPr>
            </w:pPr>
          </w:p>
        </w:tc>
        <w:tc>
          <w:tcPr>
            <w:tcW w:w="416" w:type="pct"/>
          </w:tcPr>
          <w:p w14:paraId="6DE72B30"/>
        </w:tc>
        <w:tc>
          <w:tcPr>
            <w:tcW w:w="560" w:type="pct"/>
          </w:tcPr>
          <w:p w14:paraId="5870D4D6"/>
        </w:tc>
        <w:tc>
          <w:tcPr>
            <w:tcW w:w="632" w:type="pct"/>
          </w:tcPr>
          <w:p w14:paraId="7BA1EE14"/>
        </w:tc>
        <w:tc>
          <w:tcPr>
            <w:tcW w:w="541" w:type="pct"/>
          </w:tcPr>
          <w:p w14:paraId="0E377B64"/>
        </w:tc>
        <w:tc>
          <w:tcPr>
            <w:tcW w:w="506" w:type="pct"/>
          </w:tcPr>
          <w:p w14:paraId="01856434"/>
        </w:tc>
        <w:tc>
          <w:tcPr>
            <w:tcW w:w="514" w:type="pct"/>
          </w:tcPr>
          <w:p w14:paraId="7561CD32"/>
        </w:tc>
        <w:tc>
          <w:tcPr>
            <w:tcW w:w="557" w:type="pct"/>
          </w:tcPr>
          <w:p w14:paraId="4409DABF"/>
        </w:tc>
      </w:tr>
    </w:tbl>
    <w:p w14:paraId="7715B566">
      <w:pPr>
        <w:widowControl w:val="0"/>
      </w:pPr>
    </w:p>
    <w:p w14:paraId="16DCF009">
      <w:pPr>
        <w:rPr>
          <w:lang w:eastAsia="zh-CN"/>
        </w:rPr>
      </w:pPr>
      <w:r>
        <w:rPr>
          <w:rFonts w:hint="eastAsia" w:ascii="宋体" w:hAnsi="宋体" w:eastAsia="宋体" w:cs="宋体"/>
          <w:b/>
          <w:bCs/>
          <w:sz w:val="24"/>
          <w:szCs w:val="24"/>
          <w:lang w:eastAsia="zh-CN" w:bidi="ar"/>
        </w:rPr>
        <w:t>注：请按招标文件要求配备项目管理机构</w:t>
      </w:r>
      <w:r>
        <w:rPr>
          <w:rFonts w:hint="eastAsia" w:ascii="宋体" w:hAnsi="宋体" w:eastAsia="宋体" w:cs="宋体"/>
          <w:sz w:val="24"/>
          <w:szCs w:val="24"/>
          <w:lang w:eastAsia="zh-CN" w:bidi="ar"/>
        </w:rPr>
        <w:t>；</w:t>
      </w:r>
    </w:p>
    <w:p w14:paraId="34F144FD">
      <w:pPr>
        <w:rPr>
          <w:highlight w:val="green"/>
          <w:lang w:eastAsia="zh-CN"/>
        </w:rPr>
      </w:pPr>
    </w:p>
    <w:p w14:paraId="26F06ED6">
      <w:pPr>
        <w:rPr>
          <w:highlight w:val="green"/>
          <w:lang w:eastAsia="zh-CN"/>
        </w:rPr>
      </w:pPr>
    </w:p>
    <w:p w14:paraId="70D8C1CF">
      <w:pPr>
        <w:rPr>
          <w:highlight w:val="green"/>
          <w:lang w:eastAsia="zh-CN"/>
        </w:rPr>
      </w:pPr>
    </w:p>
    <w:p w14:paraId="469019A3">
      <w:pPr>
        <w:rPr>
          <w:highlight w:val="green"/>
          <w:lang w:eastAsia="zh-CN"/>
        </w:rPr>
      </w:pPr>
      <w:r>
        <w:rPr>
          <w:highlight w:val="green"/>
          <w:lang w:eastAsia="zh-CN"/>
        </w:rPr>
        <w:br w:type="page"/>
      </w:r>
    </w:p>
    <w:bookmarkEnd w:id="70"/>
    <w:bookmarkEnd w:id="71"/>
    <w:bookmarkEnd w:id="72"/>
    <w:bookmarkEnd w:id="73"/>
    <w:p w14:paraId="21344A5F">
      <w:pPr>
        <w:widowControl w:val="0"/>
        <w:kinsoku/>
        <w:snapToGrid/>
        <w:spacing w:line="400" w:lineRule="exact"/>
        <w:ind w:firstLine="210"/>
        <w:textAlignment w:val="auto"/>
        <w:rPr>
          <w:rFonts w:hint="eastAsia" w:ascii="宋体" w:hAnsi="宋体" w:eastAsia="宋体" w:cs="宋体"/>
          <w:snapToGrid/>
          <w:sz w:val="22"/>
          <w:szCs w:val="22"/>
          <w:lang w:eastAsia="zh-CN"/>
        </w:rPr>
      </w:pPr>
      <w:bookmarkStart w:id="74" w:name="_Toc171581380"/>
      <w:bookmarkStart w:id="75" w:name="_Toc171581560"/>
      <w:bookmarkStart w:id="76" w:name="_Toc171742003"/>
    </w:p>
    <w:p w14:paraId="6E15F547">
      <w:pPr>
        <w:pStyle w:val="12"/>
        <w:spacing w:line="480" w:lineRule="auto"/>
        <w:ind w:firstLine="600" w:firstLineChars="250"/>
        <w:jc w:val="center"/>
        <w:rPr>
          <w:rFonts w:hint="eastAsia" w:hAnsi="宋体" w:cs="宋体"/>
          <w:color w:val="auto"/>
          <w:highlight w:val="none"/>
        </w:rPr>
      </w:pPr>
      <w:r>
        <w:rPr>
          <w:rFonts w:hint="eastAsia" w:hAnsi="宋体" w:cs="宋体"/>
          <w:color w:val="auto"/>
          <w:highlight w:val="none"/>
        </w:rPr>
        <w:t>主要人员简历表</w:t>
      </w:r>
    </w:p>
    <w:tbl>
      <w:tblPr>
        <w:tblStyle w:val="3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5"/>
        <w:gridCol w:w="400"/>
        <w:gridCol w:w="748"/>
        <w:gridCol w:w="1065"/>
        <w:gridCol w:w="1193"/>
        <w:gridCol w:w="786"/>
        <w:gridCol w:w="1396"/>
        <w:gridCol w:w="568"/>
        <w:gridCol w:w="1980"/>
      </w:tblGrid>
      <w:tr w14:paraId="0344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5" w:type="pct"/>
            <w:vAlign w:val="center"/>
          </w:tcPr>
          <w:p w14:paraId="5B6F8BAB">
            <w:pPr>
              <w:jc w:val="center"/>
            </w:pPr>
            <w:r>
              <w:t>姓名</w:t>
            </w:r>
          </w:p>
        </w:tc>
        <w:tc>
          <w:tcPr>
            <w:tcW w:w="606" w:type="pct"/>
            <w:gridSpan w:val="2"/>
            <w:vAlign w:val="center"/>
          </w:tcPr>
          <w:p w14:paraId="614E0818">
            <w:pPr>
              <w:jc w:val="center"/>
            </w:pPr>
          </w:p>
        </w:tc>
        <w:tc>
          <w:tcPr>
            <w:tcW w:w="562" w:type="pct"/>
            <w:vAlign w:val="center"/>
          </w:tcPr>
          <w:p w14:paraId="09996CEB">
            <w:pPr>
              <w:jc w:val="center"/>
            </w:pPr>
            <w:r>
              <w:t>年龄</w:t>
            </w:r>
          </w:p>
        </w:tc>
        <w:tc>
          <w:tcPr>
            <w:tcW w:w="630" w:type="pct"/>
            <w:vAlign w:val="center"/>
          </w:tcPr>
          <w:p w14:paraId="5DF431EF">
            <w:pPr>
              <w:jc w:val="center"/>
            </w:pPr>
          </w:p>
        </w:tc>
        <w:tc>
          <w:tcPr>
            <w:tcW w:w="1452" w:type="pct"/>
            <w:gridSpan w:val="3"/>
            <w:vAlign w:val="center"/>
          </w:tcPr>
          <w:p w14:paraId="7C2C915C">
            <w:pPr>
              <w:jc w:val="center"/>
            </w:pPr>
            <w:r>
              <w:t>学历</w:t>
            </w:r>
          </w:p>
        </w:tc>
        <w:tc>
          <w:tcPr>
            <w:tcW w:w="1043" w:type="pct"/>
            <w:vAlign w:val="center"/>
          </w:tcPr>
          <w:p w14:paraId="54D17A12">
            <w:pPr>
              <w:jc w:val="center"/>
            </w:pPr>
          </w:p>
        </w:tc>
      </w:tr>
      <w:tr w14:paraId="5DA2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05" w:type="pct"/>
            <w:vAlign w:val="center"/>
          </w:tcPr>
          <w:p w14:paraId="04E8B758">
            <w:pPr>
              <w:jc w:val="center"/>
            </w:pPr>
            <w:r>
              <w:t>职称</w:t>
            </w:r>
          </w:p>
        </w:tc>
        <w:tc>
          <w:tcPr>
            <w:tcW w:w="606" w:type="pct"/>
            <w:gridSpan w:val="2"/>
            <w:vAlign w:val="center"/>
          </w:tcPr>
          <w:p w14:paraId="6ECE5FF1">
            <w:pPr>
              <w:jc w:val="center"/>
            </w:pPr>
          </w:p>
        </w:tc>
        <w:tc>
          <w:tcPr>
            <w:tcW w:w="562" w:type="pct"/>
            <w:vAlign w:val="center"/>
          </w:tcPr>
          <w:p w14:paraId="7E43A17D">
            <w:pPr>
              <w:jc w:val="center"/>
            </w:pPr>
            <w:r>
              <w:t>职务</w:t>
            </w:r>
          </w:p>
        </w:tc>
        <w:tc>
          <w:tcPr>
            <w:tcW w:w="630" w:type="pct"/>
            <w:vAlign w:val="center"/>
          </w:tcPr>
          <w:p w14:paraId="0397408F">
            <w:pPr>
              <w:jc w:val="center"/>
            </w:pPr>
          </w:p>
        </w:tc>
        <w:tc>
          <w:tcPr>
            <w:tcW w:w="1452" w:type="pct"/>
            <w:gridSpan w:val="3"/>
            <w:vAlign w:val="center"/>
          </w:tcPr>
          <w:p w14:paraId="5C946312">
            <w:pPr>
              <w:jc w:val="center"/>
            </w:pPr>
            <w:r>
              <w:t>拟在本项目任职</w:t>
            </w:r>
          </w:p>
        </w:tc>
        <w:tc>
          <w:tcPr>
            <w:tcW w:w="1043" w:type="pct"/>
            <w:vAlign w:val="center"/>
          </w:tcPr>
          <w:p w14:paraId="43A9A16D">
            <w:pPr>
              <w:jc w:val="center"/>
            </w:pPr>
          </w:p>
        </w:tc>
      </w:tr>
      <w:tr w14:paraId="2825F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05" w:type="pct"/>
            <w:vAlign w:val="center"/>
          </w:tcPr>
          <w:p w14:paraId="42962F31">
            <w:pPr>
              <w:jc w:val="center"/>
            </w:pPr>
            <w:r>
              <w:t>毕业学校</w:t>
            </w:r>
          </w:p>
        </w:tc>
        <w:tc>
          <w:tcPr>
            <w:tcW w:w="4294" w:type="pct"/>
            <w:gridSpan w:val="8"/>
            <w:vAlign w:val="center"/>
          </w:tcPr>
          <w:p w14:paraId="169D35CF">
            <w:pPr>
              <w:jc w:val="center"/>
            </w:pPr>
            <w:r>
              <w:t>年毕业于学校专业</w:t>
            </w:r>
          </w:p>
        </w:tc>
      </w:tr>
      <w:tr w14:paraId="5B05A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000" w:type="pct"/>
            <w:gridSpan w:val="9"/>
            <w:vAlign w:val="center"/>
          </w:tcPr>
          <w:p w14:paraId="52E29F4A">
            <w:pPr>
              <w:jc w:val="center"/>
            </w:pPr>
            <w:r>
              <w:t>主要工作经历</w:t>
            </w:r>
          </w:p>
        </w:tc>
      </w:tr>
      <w:tr w14:paraId="3A07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16" w:type="pct"/>
            <w:gridSpan w:val="2"/>
            <w:vAlign w:val="center"/>
          </w:tcPr>
          <w:p w14:paraId="0370C188">
            <w:pPr>
              <w:jc w:val="center"/>
            </w:pPr>
            <w:r>
              <w:t>时间</w:t>
            </w:r>
          </w:p>
        </w:tc>
        <w:tc>
          <w:tcPr>
            <w:tcW w:w="2002" w:type="pct"/>
            <w:gridSpan w:val="4"/>
            <w:vAlign w:val="center"/>
          </w:tcPr>
          <w:p w14:paraId="17BD315C">
            <w:pPr>
              <w:jc w:val="center"/>
            </w:pPr>
            <w:r>
              <w:t>参加过的类似项目</w:t>
            </w:r>
          </w:p>
        </w:tc>
        <w:tc>
          <w:tcPr>
            <w:tcW w:w="737" w:type="pct"/>
            <w:vAlign w:val="center"/>
          </w:tcPr>
          <w:p w14:paraId="501B5DAE">
            <w:pPr>
              <w:jc w:val="center"/>
            </w:pPr>
            <w:r>
              <w:t>担任职务</w:t>
            </w:r>
          </w:p>
        </w:tc>
        <w:tc>
          <w:tcPr>
            <w:tcW w:w="1343" w:type="pct"/>
            <w:gridSpan w:val="2"/>
            <w:vAlign w:val="center"/>
          </w:tcPr>
          <w:p w14:paraId="44E5AC16">
            <w:pPr>
              <w:jc w:val="center"/>
            </w:pPr>
            <w:r>
              <w:t>发包人及联系电话</w:t>
            </w:r>
          </w:p>
        </w:tc>
      </w:tr>
      <w:tr w14:paraId="09258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16" w:type="pct"/>
            <w:gridSpan w:val="2"/>
            <w:vAlign w:val="center"/>
          </w:tcPr>
          <w:p w14:paraId="4FB6129F">
            <w:pPr>
              <w:jc w:val="center"/>
            </w:pPr>
          </w:p>
        </w:tc>
        <w:tc>
          <w:tcPr>
            <w:tcW w:w="2002" w:type="pct"/>
            <w:gridSpan w:val="4"/>
            <w:vAlign w:val="center"/>
          </w:tcPr>
          <w:p w14:paraId="16F546E4">
            <w:pPr>
              <w:jc w:val="center"/>
            </w:pPr>
          </w:p>
        </w:tc>
        <w:tc>
          <w:tcPr>
            <w:tcW w:w="737" w:type="pct"/>
            <w:vAlign w:val="center"/>
          </w:tcPr>
          <w:p w14:paraId="5AAD463C">
            <w:pPr>
              <w:jc w:val="center"/>
            </w:pPr>
          </w:p>
        </w:tc>
        <w:tc>
          <w:tcPr>
            <w:tcW w:w="1343" w:type="pct"/>
            <w:gridSpan w:val="2"/>
            <w:vAlign w:val="center"/>
          </w:tcPr>
          <w:p w14:paraId="446C487C">
            <w:pPr>
              <w:jc w:val="center"/>
            </w:pPr>
          </w:p>
        </w:tc>
      </w:tr>
      <w:tr w14:paraId="2BE5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16" w:type="pct"/>
            <w:gridSpan w:val="2"/>
            <w:vAlign w:val="center"/>
          </w:tcPr>
          <w:p w14:paraId="005148B4">
            <w:pPr>
              <w:jc w:val="center"/>
            </w:pPr>
          </w:p>
        </w:tc>
        <w:tc>
          <w:tcPr>
            <w:tcW w:w="2002" w:type="pct"/>
            <w:gridSpan w:val="4"/>
            <w:vAlign w:val="center"/>
          </w:tcPr>
          <w:p w14:paraId="495ED77D">
            <w:pPr>
              <w:jc w:val="center"/>
            </w:pPr>
          </w:p>
        </w:tc>
        <w:tc>
          <w:tcPr>
            <w:tcW w:w="737" w:type="pct"/>
            <w:vAlign w:val="center"/>
          </w:tcPr>
          <w:p w14:paraId="567DB5CB">
            <w:pPr>
              <w:jc w:val="center"/>
            </w:pPr>
          </w:p>
        </w:tc>
        <w:tc>
          <w:tcPr>
            <w:tcW w:w="1343" w:type="pct"/>
            <w:gridSpan w:val="2"/>
            <w:vAlign w:val="center"/>
          </w:tcPr>
          <w:p w14:paraId="2FB41DBD">
            <w:pPr>
              <w:jc w:val="center"/>
            </w:pPr>
          </w:p>
        </w:tc>
      </w:tr>
      <w:tr w14:paraId="1DBB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16" w:type="pct"/>
            <w:gridSpan w:val="2"/>
            <w:vAlign w:val="center"/>
          </w:tcPr>
          <w:p w14:paraId="25F246DD">
            <w:pPr>
              <w:jc w:val="center"/>
            </w:pPr>
          </w:p>
        </w:tc>
        <w:tc>
          <w:tcPr>
            <w:tcW w:w="2002" w:type="pct"/>
            <w:gridSpan w:val="4"/>
            <w:vAlign w:val="center"/>
          </w:tcPr>
          <w:p w14:paraId="5A955B2F">
            <w:pPr>
              <w:jc w:val="center"/>
            </w:pPr>
          </w:p>
        </w:tc>
        <w:tc>
          <w:tcPr>
            <w:tcW w:w="737" w:type="pct"/>
            <w:vAlign w:val="center"/>
          </w:tcPr>
          <w:p w14:paraId="2ED7FE2E">
            <w:pPr>
              <w:jc w:val="center"/>
            </w:pPr>
          </w:p>
        </w:tc>
        <w:tc>
          <w:tcPr>
            <w:tcW w:w="1343" w:type="pct"/>
            <w:gridSpan w:val="2"/>
            <w:vAlign w:val="center"/>
          </w:tcPr>
          <w:p w14:paraId="2F3EF7F7">
            <w:pPr>
              <w:jc w:val="center"/>
            </w:pPr>
          </w:p>
        </w:tc>
      </w:tr>
      <w:tr w14:paraId="704FF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16" w:type="pct"/>
            <w:gridSpan w:val="2"/>
            <w:vAlign w:val="center"/>
          </w:tcPr>
          <w:p w14:paraId="3CA8BAF3">
            <w:pPr>
              <w:jc w:val="center"/>
            </w:pPr>
          </w:p>
        </w:tc>
        <w:tc>
          <w:tcPr>
            <w:tcW w:w="2002" w:type="pct"/>
            <w:gridSpan w:val="4"/>
            <w:vAlign w:val="center"/>
          </w:tcPr>
          <w:p w14:paraId="3018D84A">
            <w:pPr>
              <w:jc w:val="center"/>
            </w:pPr>
          </w:p>
        </w:tc>
        <w:tc>
          <w:tcPr>
            <w:tcW w:w="737" w:type="pct"/>
            <w:vAlign w:val="center"/>
          </w:tcPr>
          <w:p w14:paraId="442E6AD2">
            <w:pPr>
              <w:jc w:val="center"/>
            </w:pPr>
          </w:p>
        </w:tc>
        <w:tc>
          <w:tcPr>
            <w:tcW w:w="1343" w:type="pct"/>
            <w:gridSpan w:val="2"/>
            <w:vAlign w:val="center"/>
          </w:tcPr>
          <w:p w14:paraId="43C4CF42">
            <w:pPr>
              <w:jc w:val="center"/>
            </w:pPr>
          </w:p>
        </w:tc>
      </w:tr>
      <w:tr w14:paraId="774C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16" w:type="pct"/>
            <w:gridSpan w:val="2"/>
            <w:vAlign w:val="center"/>
          </w:tcPr>
          <w:p w14:paraId="45B994E4">
            <w:pPr>
              <w:jc w:val="center"/>
            </w:pPr>
          </w:p>
        </w:tc>
        <w:tc>
          <w:tcPr>
            <w:tcW w:w="2002" w:type="pct"/>
            <w:gridSpan w:val="4"/>
            <w:vAlign w:val="center"/>
          </w:tcPr>
          <w:p w14:paraId="7B91CB10">
            <w:pPr>
              <w:jc w:val="center"/>
            </w:pPr>
          </w:p>
        </w:tc>
        <w:tc>
          <w:tcPr>
            <w:tcW w:w="737" w:type="pct"/>
            <w:vAlign w:val="center"/>
          </w:tcPr>
          <w:p w14:paraId="232815A8">
            <w:pPr>
              <w:jc w:val="center"/>
            </w:pPr>
          </w:p>
        </w:tc>
        <w:tc>
          <w:tcPr>
            <w:tcW w:w="1343" w:type="pct"/>
            <w:gridSpan w:val="2"/>
            <w:vAlign w:val="center"/>
          </w:tcPr>
          <w:p w14:paraId="53D396C9">
            <w:pPr>
              <w:jc w:val="center"/>
            </w:pPr>
          </w:p>
        </w:tc>
      </w:tr>
      <w:tr w14:paraId="238FC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16" w:type="pct"/>
            <w:gridSpan w:val="2"/>
            <w:vAlign w:val="center"/>
          </w:tcPr>
          <w:p w14:paraId="4D9DAEE4">
            <w:pPr>
              <w:jc w:val="center"/>
            </w:pPr>
          </w:p>
        </w:tc>
        <w:tc>
          <w:tcPr>
            <w:tcW w:w="2002" w:type="pct"/>
            <w:gridSpan w:val="4"/>
            <w:vAlign w:val="center"/>
          </w:tcPr>
          <w:p w14:paraId="354B4CCD">
            <w:pPr>
              <w:jc w:val="center"/>
            </w:pPr>
          </w:p>
        </w:tc>
        <w:tc>
          <w:tcPr>
            <w:tcW w:w="737" w:type="pct"/>
            <w:vAlign w:val="center"/>
          </w:tcPr>
          <w:p w14:paraId="24CE2480">
            <w:pPr>
              <w:jc w:val="center"/>
            </w:pPr>
          </w:p>
        </w:tc>
        <w:tc>
          <w:tcPr>
            <w:tcW w:w="1343" w:type="pct"/>
            <w:gridSpan w:val="2"/>
            <w:vAlign w:val="center"/>
          </w:tcPr>
          <w:p w14:paraId="135AF5AE">
            <w:pPr>
              <w:jc w:val="center"/>
            </w:pPr>
          </w:p>
        </w:tc>
      </w:tr>
      <w:tr w14:paraId="0E1F2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16" w:type="pct"/>
            <w:gridSpan w:val="2"/>
            <w:vAlign w:val="center"/>
          </w:tcPr>
          <w:p w14:paraId="5E459899">
            <w:pPr>
              <w:jc w:val="center"/>
            </w:pPr>
          </w:p>
        </w:tc>
        <w:tc>
          <w:tcPr>
            <w:tcW w:w="2002" w:type="pct"/>
            <w:gridSpan w:val="4"/>
            <w:vAlign w:val="center"/>
          </w:tcPr>
          <w:p w14:paraId="2EFC18AC">
            <w:pPr>
              <w:jc w:val="center"/>
            </w:pPr>
          </w:p>
        </w:tc>
        <w:tc>
          <w:tcPr>
            <w:tcW w:w="737" w:type="pct"/>
            <w:vAlign w:val="center"/>
          </w:tcPr>
          <w:p w14:paraId="184B5853">
            <w:pPr>
              <w:jc w:val="center"/>
            </w:pPr>
          </w:p>
        </w:tc>
        <w:tc>
          <w:tcPr>
            <w:tcW w:w="1343" w:type="pct"/>
            <w:gridSpan w:val="2"/>
            <w:vAlign w:val="center"/>
          </w:tcPr>
          <w:p w14:paraId="1D8839D4">
            <w:pPr>
              <w:jc w:val="center"/>
            </w:pPr>
          </w:p>
        </w:tc>
      </w:tr>
      <w:tr w14:paraId="0CE00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16" w:type="pct"/>
            <w:gridSpan w:val="2"/>
            <w:vAlign w:val="center"/>
          </w:tcPr>
          <w:p w14:paraId="5D0FCD38">
            <w:pPr>
              <w:jc w:val="center"/>
            </w:pPr>
          </w:p>
        </w:tc>
        <w:tc>
          <w:tcPr>
            <w:tcW w:w="2002" w:type="pct"/>
            <w:gridSpan w:val="4"/>
            <w:vAlign w:val="center"/>
          </w:tcPr>
          <w:p w14:paraId="4240CF76">
            <w:pPr>
              <w:jc w:val="center"/>
            </w:pPr>
          </w:p>
        </w:tc>
        <w:tc>
          <w:tcPr>
            <w:tcW w:w="737" w:type="pct"/>
            <w:vAlign w:val="center"/>
          </w:tcPr>
          <w:p w14:paraId="4B63ADD8">
            <w:pPr>
              <w:jc w:val="center"/>
            </w:pPr>
          </w:p>
        </w:tc>
        <w:tc>
          <w:tcPr>
            <w:tcW w:w="1343" w:type="pct"/>
            <w:gridSpan w:val="2"/>
            <w:vAlign w:val="center"/>
          </w:tcPr>
          <w:p w14:paraId="4A11185A">
            <w:pPr>
              <w:jc w:val="center"/>
            </w:pPr>
          </w:p>
        </w:tc>
      </w:tr>
      <w:tr w14:paraId="69377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16" w:type="pct"/>
            <w:gridSpan w:val="2"/>
            <w:vAlign w:val="center"/>
          </w:tcPr>
          <w:p w14:paraId="09CE58A1">
            <w:pPr>
              <w:jc w:val="center"/>
            </w:pPr>
          </w:p>
        </w:tc>
        <w:tc>
          <w:tcPr>
            <w:tcW w:w="2002" w:type="pct"/>
            <w:gridSpan w:val="4"/>
            <w:vAlign w:val="center"/>
          </w:tcPr>
          <w:p w14:paraId="4C2ABD34">
            <w:pPr>
              <w:jc w:val="center"/>
            </w:pPr>
          </w:p>
        </w:tc>
        <w:tc>
          <w:tcPr>
            <w:tcW w:w="737" w:type="pct"/>
            <w:vAlign w:val="center"/>
          </w:tcPr>
          <w:p w14:paraId="1EA94DE2">
            <w:pPr>
              <w:jc w:val="center"/>
            </w:pPr>
          </w:p>
        </w:tc>
        <w:tc>
          <w:tcPr>
            <w:tcW w:w="1343" w:type="pct"/>
            <w:gridSpan w:val="2"/>
            <w:vAlign w:val="center"/>
          </w:tcPr>
          <w:p w14:paraId="601D9058">
            <w:pPr>
              <w:jc w:val="center"/>
            </w:pPr>
          </w:p>
        </w:tc>
      </w:tr>
    </w:tbl>
    <w:p w14:paraId="0FEF78A9">
      <w:pPr>
        <w:widowControl w:val="0"/>
        <w:kinsoku/>
        <w:autoSpaceDE/>
        <w:autoSpaceDN/>
        <w:adjustRightInd/>
        <w:snapToGrid/>
        <w:jc w:val="both"/>
        <w:textAlignment w:val="auto"/>
        <w:rPr>
          <w:rFonts w:ascii="宋体" w:hAnsi="Times New Roman" w:eastAsia="宋体" w:cs="Times New Roman"/>
          <w:snapToGrid/>
          <w:color w:val="auto"/>
          <w:sz w:val="24"/>
          <w:szCs w:val="20"/>
          <w:highlight w:val="none"/>
          <w:lang w:eastAsia="zh-CN"/>
        </w:rPr>
      </w:pPr>
    </w:p>
    <w:p w14:paraId="70F4B01A">
      <w:pPr>
        <w:jc w:val="both"/>
        <w:rPr>
          <w:rFonts w:hint="eastAsia" w:ascii="宋体" w:hAnsi="宋体" w:eastAsia="宋体" w:cs="宋体"/>
          <w:color w:val="auto"/>
          <w:sz w:val="24"/>
          <w:szCs w:val="24"/>
          <w:highlight w:val="none"/>
          <w:lang w:eastAsia="zh-CN"/>
        </w:rPr>
      </w:pPr>
      <w:r>
        <w:rPr>
          <w:rFonts w:hint="eastAsia" w:ascii="宋体" w:hAnsi="宋体" w:eastAsia="宋体" w:cs="宋体"/>
          <w:snapToGrid/>
          <w:color w:val="auto"/>
          <w:sz w:val="24"/>
          <w:szCs w:val="20"/>
          <w:highlight w:val="none"/>
          <w:lang w:val="zh-CN" w:eastAsia="zh-CN"/>
        </w:rPr>
        <w:t>注：</w:t>
      </w:r>
      <w:r>
        <w:rPr>
          <w:rFonts w:ascii="宋体" w:hAnsi="宋体" w:eastAsia="宋体" w:cs="宋体"/>
          <w:color w:val="auto"/>
          <w:spacing w:val="-3"/>
          <w:sz w:val="24"/>
          <w:szCs w:val="24"/>
          <w:highlight w:val="none"/>
          <w:lang w:eastAsia="zh-CN"/>
        </w:rPr>
        <w:t>设计负责人、项目经理、技术负责人及设计主要人员须按此表格分别填</w:t>
      </w:r>
      <w:r>
        <w:rPr>
          <w:rFonts w:ascii="宋体" w:hAnsi="宋体" w:eastAsia="宋体" w:cs="宋体"/>
          <w:color w:val="auto"/>
          <w:spacing w:val="-4"/>
          <w:sz w:val="24"/>
          <w:szCs w:val="24"/>
          <w:highlight w:val="none"/>
          <w:lang w:eastAsia="zh-CN"/>
        </w:rPr>
        <w:t>写；应根据招标文件评审要求附职称证书（如有）、注册资格证书</w:t>
      </w:r>
      <w:r>
        <w:rPr>
          <w:rFonts w:ascii="宋体" w:hAnsi="宋体" w:eastAsia="宋体" w:cs="宋体"/>
          <w:color w:val="auto"/>
          <w:spacing w:val="-5"/>
          <w:sz w:val="24"/>
          <w:szCs w:val="24"/>
          <w:highlight w:val="none"/>
          <w:lang w:eastAsia="zh-CN"/>
        </w:rPr>
        <w:t>（如有）及其</w:t>
      </w:r>
      <w:r>
        <w:rPr>
          <w:rFonts w:ascii="宋体" w:hAnsi="宋体" w:eastAsia="宋体" w:cs="宋体"/>
          <w:color w:val="auto"/>
          <w:spacing w:val="-4"/>
          <w:sz w:val="24"/>
          <w:szCs w:val="24"/>
          <w:highlight w:val="none"/>
          <w:lang w:eastAsia="zh-CN"/>
        </w:rPr>
        <w:t>它相关证书及证明扫描件等。</w:t>
      </w:r>
    </w:p>
    <w:p w14:paraId="7614C4F0">
      <w:pPr>
        <w:rPr>
          <w:rFonts w:hint="eastAsia" w:ascii="宋体" w:hAnsi="宋体" w:eastAsia="宋体" w:cs="宋体"/>
          <w:snapToGrid/>
          <w:sz w:val="24"/>
          <w:szCs w:val="20"/>
          <w:lang w:val="zh-CN" w:eastAsia="zh-CN"/>
        </w:rPr>
      </w:pPr>
    </w:p>
    <w:p w14:paraId="15D40FD2">
      <w:pPr>
        <w:rPr>
          <w:rFonts w:hint="eastAsia" w:ascii="宋体" w:hAnsi="宋体" w:eastAsia="宋体" w:cs="宋体"/>
          <w:snapToGrid/>
          <w:sz w:val="24"/>
          <w:szCs w:val="20"/>
          <w:lang w:val="zh-CN" w:eastAsia="zh-CN"/>
        </w:rPr>
      </w:pPr>
    </w:p>
    <w:p w14:paraId="036F9CAC">
      <w:pPr>
        <w:rPr>
          <w:rFonts w:hint="eastAsia" w:ascii="宋体" w:hAnsi="宋体" w:eastAsia="宋体" w:cs="宋体"/>
          <w:snapToGrid/>
          <w:sz w:val="24"/>
          <w:szCs w:val="20"/>
          <w:lang w:val="zh-CN" w:eastAsia="zh-CN"/>
        </w:rPr>
      </w:pPr>
    </w:p>
    <w:p w14:paraId="6BDA1A7E">
      <w:pPr>
        <w:rPr>
          <w:rFonts w:hint="eastAsia" w:ascii="宋体" w:hAnsi="宋体" w:eastAsia="宋体" w:cs="宋体"/>
          <w:snapToGrid/>
          <w:sz w:val="24"/>
          <w:szCs w:val="20"/>
          <w:lang w:val="zh-CN" w:eastAsia="zh-CN"/>
        </w:rPr>
      </w:pPr>
    </w:p>
    <w:p w14:paraId="293753D4">
      <w:pPr>
        <w:rPr>
          <w:rFonts w:hint="eastAsia" w:ascii="宋体" w:hAnsi="宋体" w:eastAsia="宋体" w:cs="宋体"/>
          <w:snapToGrid/>
          <w:sz w:val="24"/>
          <w:szCs w:val="20"/>
          <w:lang w:val="zh-CN" w:eastAsia="zh-CN"/>
        </w:rPr>
      </w:pPr>
    </w:p>
    <w:p w14:paraId="4A97AFD3">
      <w:pPr>
        <w:rPr>
          <w:rFonts w:hint="eastAsia" w:ascii="宋体" w:hAnsi="宋体" w:eastAsia="宋体" w:cs="宋体"/>
          <w:snapToGrid/>
          <w:sz w:val="24"/>
          <w:szCs w:val="20"/>
          <w:lang w:val="zh-CN" w:eastAsia="zh-CN"/>
        </w:rPr>
      </w:pPr>
    </w:p>
    <w:p w14:paraId="38411A41">
      <w:pPr>
        <w:rPr>
          <w:rFonts w:hint="eastAsia" w:ascii="宋体" w:hAnsi="宋体" w:eastAsia="宋体" w:cs="宋体"/>
          <w:snapToGrid/>
          <w:sz w:val="24"/>
          <w:szCs w:val="20"/>
          <w:lang w:val="zh-CN" w:eastAsia="zh-CN"/>
        </w:rPr>
      </w:pPr>
    </w:p>
    <w:p w14:paraId="3498F8F8">
      <w:pPr>
        <w:rPr>
          <w:rFonts w:hint="eastAsia" w:ascii="宋体" w:hAnsi="宋体" w:eastAsia="宋体" w:cs="宋体"/>
          <w:snapToGrid/>
          <w:sz w:val="24"/>
          <w:szCs w:val="20"/>
          <w:lang w:val="zh-CN" w:eastAsia="zh-CN"/>
        </w:rPr>
      </w:pPr>
    </w:p>
    <w:p w14:paraId="6B941543">
      <w:pPr>
        <w:rPr>
          <w:rFonts w:hint="eastAsia" w:ascii="宋体" w:hAnsi="宋体" w:eastAsia="宋体" w:cs="宋体"/>
          <w:snapToGrid/>
          <w:sz w:val="24"/>
          <w:szCs w:val="20"/>
          <w:lang w:val="zh-CN" w:eastAsia="zh-CN"/>
        </w:rPr>
      </w:pPr>
    </w:p>
    <w:p w14:paraId="2B009D02">
      <w:pPr>
        <w:rPr>
          <w:rFonts w:hint="eastAsia" w:ascii="宋体" w:hAnsi="宋体" w:eastAsia="宋体" w:cs="宋体"/>
          <w:snapToGrid/>
          <w:sz w:val="24"/>
          <w:szCs w:val="20"/>
          <w:lang w:val="zh-CN" w:eastAsia="zh-CN"/>
        </w:rPr>
      </w:pPr>
    </w:p>
    <w:p w14:paraId="51941E55">
      <w:pPr>
        <w:widowControl w:val="0"/>
        <w:numPr>
          <w:ilvl w:val="0"/>
          <w:numId w:val="10"/>
        </w:numPr>
        <w:kinsoku/>
        <w:autoSpaceDE/>
        <w:autoSpaceDN/>
        <w:adjustRightInd/>
        <w:snapToGrid/>
        <w:spacing w:before="120" w:beforeLines="50" w:after="120" w:afterLines="50" w:line="440" w:lineRule="exact"/>
        <w:jc w:val="center"/>
        <w:textAlignment w:val="auto"/>
        <w:rPr>
          <w:rFonts w:ascii="Times New Roman" w:hAnsi="Times New Roman" w:eastAsia="黑体" w:cs="Times New Roman"/>
          <w:snapToGrid/>
          <w:sz w:val="30"/>
          <w:szCs w:val="30"/>
          <w:lang w:eastAsia="zh-CN"/>
        </w:rPr>
      </w:pPr>
      <w:r>
        <w:rPr>
          <w:rFonts w:ascii="Times New Roman" w:hAnsi="Times New Roman" w:eastAsia="黑体" w:cs="Times New Roman"/>
          <w:snapToGrid/>
          <w:sz w:val="30"/>
          <w:szCs w:val="30"/>
          <w:lang w:eastAsia="zh-CN"/>
        </w:rPr>
        <w:t>承包人用于本工程施工的机械设备表</w:t>
      </w:r>
    </w:p>
    <w:tbl>
      <w:tblPr>
        <w:tblStyle w:val="19"/>
        <w:tblW w:w="98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8877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bottom w:val="double" w:color="auto" w:sz="6" w:space="0"/>
            </w:tcBorders>
            <w:vAlign w:val="center"/>
          </w:tcPr>
          <w:p w14:paraId="3A5C7D18">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序号</w:t>
            </w:r>
          </w:p>
        </w:tc>
        <w:tc>
          <w:tcPr>
            <w:tcW w:w="1418" w:type="dxa"/>
            <w:tcBorders>
              <w:bottom w:val="double" w:color="auto" w:sz="6" w:space="0"/>
            </w:tcBorders>
            <w:vAlign w:val="center"/>
          </w:tcPr>
          <w:p w14:paraId="0937CFDF">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机械或设备名称</w:t>
            </w:r>
          </w:p>
        </w:tc>
        <w:tc>
          <w:tcPr>
            <w:tcW w:w="850" w:type="dxa"/>
            <w:tcBorders>
              <w:bottom w:val="double" w:color="auto" w:sz="6" w:space="0"/>
            </w:tcBorders>
            <w:vAlign w:val="center"/>
          </w:tcPr>
          <w:p w14:paraId="3D2E62CC">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规格型号</w:t>
            </w:r>
          </w:p>
        </w:tc>
        <w:tc>
          <w:tcPr>
            <w:tcW w:w="1058" w:type="dxa"/>
            <w:tcBorders>
              <w:bottom w:val="double" w:color="auto" w:sz="6" w:space="0"/>
            </w:tcBorders>
            <w:vAlign w:val="center"/>
          </w:tcPr>
          <w:p w14:paraId="3790FC35">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数量</w:t>
            </w:r>
          </w:p>
        </w:tc>
        <w:tc>
          <w:tcPr>
            <w:tcW w:w="880" w:type="dxa"/>
            <w:tcBorders>
              <w:bottom w:val="double" w:color="auto" w:sz="6" w:space="0"/>
            </w:tcBorders>
            <w:vAlign w:val="center"/>
          </w:tcPr>
          <w:p w14:paraId="50285DC3">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产地</w:t>
            </w:r>
          </w:p>
        </w:tc>
        <w:tc>
          <w:tcPr>
            <w:tcW w:w="1020" w:type="dxa"/>
            <w:tcBorders>
              <w:bottom w:val="double" w:color="auto" w:sz="6" w:space="0"/>
            </w:tcBorders>
            <w:vAlign w:val="center"/>
          </w:tcPr>
          <w:p w14:paraId="37A1D9E2">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制造年份</w:t>
            </w:r>
          </w:p>
        </w:tc>
        <w:tc>
          <w:tcPr>
            <w:tcW w:w="1480" w:type="dxa"/>
            <w:tcBorders>
              <w:bottom w:val="double" w:color="auto" w:sz="6" w:space="0"/>
            </w:tcBorders>
            <w:vAlign w:val="center"/>
          </w:tcPr>
          <w:p w14:paraId="573076FC">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额定功率(kW)</w:t>
            </w:r>
          </w:p>
        </w:tc>
        <w:tc>
          <w:tcPr>
            <w:tcW w:w="1020" w:type="dxa"/>
            <w:tcBorders>
              <w:bottom w:val="double" w:color="auto" w:sz="6" w:space="0"/>
            </w:tcBorders>
            <w:vAlign w:val="center"/>
          </w:tcPr>
          <w:p w14:paraId="7951911D">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生产能力</w:t>
            </w:r>
          </w:p>
        </w:tc>
        <w:tc>
          <w:tcPr>
            <w:tcW w:w="921" w:type="dxa"/>
            <w:tcBorders>
              <w:bottom w:val="double" w:color="auto" w:sz="6" w:space="0"/>
            </w:tcBorders>
            <w:vAlign w:val="center"/>
          </w:tcPr>
          <w:p w14:paraId="4938F122">
            <w:pPr>
              <w:keepNext/>
              <w:widowControl w:val="0"/>
              <w:spacing w:line="440" w:lineRule="exact"/>
              <w:ind w:left="63" w:leftChars="30" w:right="63" w:rightChars="30"/>
              <w:jc w:val="center"/>
              <w:rPr>
                <w:rFonts w:ascii="Times New Roman" w:hAnsi="Times New Roman" w:eastAsia="宋体" w:cs="Times New Roman"/>
                <w:kern w:val="2"/>
                <w:sz w:val="28"/>
                <w:szCs w:val="30"/>
                <w:lang w:eastAsia="zh-CN"/>
              </w:rPr>
            </w:pPr>
            <w:r>
              <w:rPr>
                <w:rFonts w:ascii="Times New Roman" w:hAnsi="Times New Roman" w:eastAsia="宋体" w:cs="Times New Roman"/>
                <w:kern w:val="2"/>
                <w:sz w:val="28"/>
                <w:szCs w:val="30"/>
                <w:lang w:eastAsia="zh-CN"/>
              </w:rPr>
              <w:t>备注</w:t>
            </w:r>
          </w:p>
        </w:tc>
      </w:tr>
      <w:tr w14:paraId="091F7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7035D75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tcBorders>
              <w:top w:val="double" w:color="auto" w:sz="6" w:space="0"/>
              <w:bottom w:val="single" w:color="auto" w:sz="6" w:space="0"/>
            </w:tcBorders>
            <w:vAlign w:val="center"/>
          </w:tcPr>
          <w:p w14:paraId="5C92D88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tcBorders>
              <w:top w:val="double" w:color="auto" w:sz="6" w:space="0"/>
              <w:bottom w:val="single" w:color="auto" w:sz="6" w:space="0"/>
            </w:tcBorders>
            <w:vAlign w:val="center"/>
          </w:tcPr>
          <w:p w14:paraId="0889AE9A">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tcBorders>
              <w:top w:val="double" w:color="auto" w:sz="6" w:space="0"/>
              <w:bottom w:val="single" w:color="auto" w:sz="6" w:space="0"/>
            </w:tcBorders>
            <w:vAlign w:val="center"/>
          </w:tcPr>
          <w:p w14:paraId="24FC119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tcBorders>
              <w:top w:val="double" w:color="auto" w:sz="6" w:space="0"/>
              <w:bottom w:val="single" w:color="auto" w:sz="6" w:space="0"/>
            </w:tcBorders>
            <w:vAlign w:val="center"/>
          </w:tcPr>
          <w:p w14:paraId="753B271D">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tcBorders>
              <w:top w:val="double" w:color="auto" w:sz="6" w:space="0"/>
              <w:bottom w:val="single" w:color="auto" w:sz="6" w:space="0"/>
            </w:tcBorders>
            <w:vAlign w:val="center"/>
          </w:tcPr>
          <w:p w14:paraId="79588742">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tcBorders>
              <w:top w:val="double" w:color="auto" w:sz="6" w:space="0"/>
              <w:bottom w:val="single" w:color="auto" w:sz="6" w:space="0"/>
            </w:tcBorders>
            <w:vAlign w:val="center"/>
          </w:tcPr>
          <w:p w14:paraId="5449D567">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tcBorders>
              <w:top w:val="double" w:color="auto" w:sz="6" w:space="0"/>
              <w:bottom w:val="single" w:color="auto" w:sz="6" w:space="0"/>
            </w:tcBorders>
            <w:vAlign w:val="center"/>
          </w:tcPr>
          <w:p w14:paraId="2F8CB5F2">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tcBorders>
              <w:top w:val="double" w:color="auto" w:sz="6" w:space="0"/>
              <w:bottom w:val="single" w:color="auto" w:sz="6" w:space="0"/>
            </w:tcBorders>
            <w:vAlign w:val="center"/>
          </w:tcPr>
          <w:p w14:paraId="442CE379">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034EE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7D6FE86">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tcBorders>
              <w:top w:val="nil"/>
            </w:tcBorders>
            <w:vAlign w:val="center"/>
          </w:tcPr>
          <w:p w14:paraId="2DEF1A2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tcBorders>
              <w:top w:val="nil"/>
            </w:tcBorders>
            <w:vAlign w:val="center"/>
          </w:tcPr>
          <w:p w14:paraId="48CAD183">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tcBorders>
              <w:top w:val="nil"/>
            </w:tcBorders>
            <w:vAlign w:val="center"/>
          </w:tcPr>
          <w:p w14:paraId="27D460CA">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tcBorders>
              <w:top w:val="nil"/>
            </w:tcBorders>
            <w:vAlign w:val="center"/>
          </w:tcPr>
          <w:p w14:paraId="1991E2D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tcBorders>
              <w:top w:val="nil"/>
            </w:tcBorders>
            <w:vAlign w:val="center"/>
          </w:tcPr>
          <w:p w14:paraId="0CB79066">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tcBorders>
              <w:top w:val="nil"/>
            </w:tcBorders>
            <w:vAlign w:val="center"/>
          </w:tcPr>
          <w:p w14:paraId="792B411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tcBorders>
              <w:top w:val="nil"/>
            </w:tcBorders>
            <w:vAlign w:val="center"/>
          </w:tcPr>
          <w:p w14:paraId="0B6C02DE">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tcBorders>
              <w:top w:val="nil"/>
            </w:tcBorders>
            <w:vAlign w:val="center"/>
          </w:tcPr>
          <w:p w14:paraId="49B6C27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2F8091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9E342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2144026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491E1842">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2295728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5A589A2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141FECC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27CBFAE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5765D4A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789CB96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40F13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25A146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04CD3213">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4F06AC3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4E088A7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38B61AE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3D32F7E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675DD0B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151C7D8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010892B7">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0F0EB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0843AEE">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6BD564D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748AAEF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07687409">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4D38397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0100521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0458D129">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5E5CBEDA">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271295E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308111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E20A60">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74B4CC5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5710A3D6">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346A2E6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6883AB5D">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1E520F97">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4D2CD08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4B4969A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5A66B02A">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380878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27DB87A">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0C1B1031">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0548E28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5827D7E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0B93420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2B585FA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785A7F7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42D873A9">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04D9F13E">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7B6397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809105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4EC558A9">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03E730ED">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574CAC4B">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337A9BEE">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01BCB56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3F88163F">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62CA42F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04779A3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33B99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6BCD40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051FEB8A">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349BC76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573E8693">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14BD9769">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48666119">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1AA7E0A3">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35619DEA">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7CF3E588">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r w14:paraId="5E265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1C43635">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18" w:type="dxa"/>
            <w:vAlign w:val="center"/>
          </w:tcPr>
          <w:p w14:paraId="0F608FFC">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50" w:type="dxa"/>
            <w:vAlign w:val="center"/>
          </w:tcPr>
          <w:p w14:paraId="06806C6D">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58" w:type="dxa"/>
            <w:vAlign w:val="center"/>
          </w:tcPr>
          <w:p w14:paraId="07CC35B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880" w:type="dxa"/>
            <w:vAlign w:val="center"/>
          </w:tcPr>
          <w:p w14:paraId="40357616">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5E000434">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480" w:type="dxa"/>
            <w:vAlign w:val="center"/>
          </w:tcPr>
          <w:p w14:paraId="41AE3368">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1020" w:type="dxa"/>
            <w:vAlign w:val="center"/>
          </w:tcPr>
          <w:p w14:paraId="52F6E191">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c>
          <w:tcPr>
            <w:tcW w:w="921" w:type="dxa"/>
            <w:vAlign w:val="center"/>
          </w:tcPr>
          <w:p w14:paraId="643847C6">
            <w:pPr>
              <w:keepNext/>
              <w:widowControl w:val="0"/>
              <w:spacing w:line="440" w:lineRule="exact"/>
              <w:ind w:left="63" w:leftChars="30" w:right="63" w:rightChars="30"/>
              <w:jc w:val="center"/>
              <w:rPr>
                <w:rFonts w:ascii="Times New Roman" w:hAnsi="Times New Roman" w:eastAsia="宋体" w:cs="Times New Roman"/>
                <w:kern w:val="2"/>
                <w:sz w:val="30"/>
                <w:szCs w:val="30"/>
                <w:lang w:eastAsia="zh-CN"/>
              </w:rPr>
            </w:pPr>
          </w:p>
        </w:tc>
      </w:tr>
      <w:tr w14:paraId="530E56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FF53BBA">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7E0138D1">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0FED99A6">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292C2230">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1D285DB6">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309FD387">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7E82B5A9">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77800981">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05F99679">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r w14:paraId="6CD66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80B1657">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0C64E618">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15DBDC12">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2E965E9B">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59B81F66">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079963A6">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229097BF">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201A35F5">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2894BAF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r w14:paraId="44A56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DD9ED0">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0C2286FB">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23A0F093">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703A0361">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7CA0811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348656DB">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20BEEC3F">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5779FAD0">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7D97D3CD">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r w14:paraId="1BBD8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7B8DD25">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2A089E9F">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27BA0CDC">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278C1842">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448B68A1">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3339BB5C">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48D58E37">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43BDACFF">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5EA28462">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r w14:paraId="2FFF0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07C3E78">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18" w:type="dxa"/>
          </w:tcPr>
          <w:p w14:paraId="49757415">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50" w:type="dxa"/>
          </w:tcPr>
          <w:p w14:paraId="39F33873">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58" w:type="dxa"/>
          </w:tcPr>
          <w:p w14:paraId="42C9600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880" w:type="dxa"/>
          </w:tcPr>
          <w:p w14:paraId="4276CF7A">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630265B7">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480" w:type="dxa"/>
          </w:tcPr>
          <w:p w14:paraId="6E051AFC">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1020" w:type="dxa"/>
          </w:tcPr>
          <w:p w14:paraId="54E918E7">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c>
          <w:tcPr>
            <w:tcW w:w="921" w:type="dxa"/>
          </w:tcPr>
          <w:p w14:paraId="0D6D2A5E">
            <w:pPr>
              <w:widowControl w:val="0"/>
              <w:kinsoku/>
              <w:autoSpaceDE/>
              <w:autoSpaceDN/>
              <w:adjustRightInd/>
              <w:snapToGrid/>
              <w:jc w:val="both"/>
              <w:textAlignment w:val="auto"/>
              <w:rPr>
                <w:rFonts w:ascii="宋体" w:hAnsi="Times New Roman" w:eastAsia="宋体" w:cs="Times New Roman"/>
                <w:snapToGrid/>
                <w:sz w:val="30"/>
                <w:szCs w:val="30"/>
                <w:lang w:eastAsia="zh-CN"/>
              </w:rPr>
            </w:pPr>
          </w:p>
        </w:tc>
      </w:tr>
    </w:tbl>
    <w:p w14:paraId="64C17E11">
      <w:pPr>
        <w:rPr>
          <w:rFonts w:hAnsi="宋体" w:cs="宋体"/>
          <w:b/>
          <w:sz w:val="28"/>
          <w:szCs w:val="28"/>
        </w:rPr>
      </w:pPr>
    </w:p>
    <w:p w14:paraId="6E0E2BCA">
      <w:pPr>
        <w:rPr>
          <w:rFonts w:hAnsi="宋体" w:cs="宋体"/>
          <w:b/>
          <w:sz w:val="28"/>
          <w:szCs w:val="28"/>
        </w:rPr>
      </w:pPr>
    </w:p>
    <w:p w14:paraId="30B2C784">
      <w:pPr>
        <w:rPr>
          <w:rFonts w:hAnsi="宋体" w:cs="宋体"/>
          <w:b/>
          <w:sz w:val="28"/>
          <w:szCs w:val="28"/>
        </w:rPr>
      </w:pPr>
    </w:p>
    <w:p w14:paraId="559CD26B">
      <w:pPr>
        <w:rPr>
          <w:rFonts w:hAnsi="宋体" w:cs="宋体"/>
          <w:b/>
          <w:sz w:val="28"/>
          <w:szCs w:val="28"/>
        </w:rPr>
      </w:pPr>
      <w:r>
        <w:rPr>
          <w:rFonts w:hint="eastAsia" w:hAnsi="宋体" w:cs="宋体"/>
          <w:b/>
          <w:sz w:val="28"/>
          <w:szCs w:val="28"/>
        </w:rPr>
        <w:br w:type="page"/>
      </w:r>
    </w:p>
    <w:p w14:paraId="7C4126F0">
      <w:pPr>
        <w:pStyle w:val="11"/>
        <w:jc w:val="center"/>
        <w:rPr>
          <w:rFonts w:hint="eastAsia" w:hAnsi="宋体" w:cs="宋体"/>
          <w:b/>
          <w:sz w:val="28"/>
          <w:szCs w:val="28"/>
        </w:rPr>
      </w:pPr>
      <w:r>
        <w:rPr>
          <w:rFonts w:hint="eastAsia" w:hAnsi="宋体" w:cs="宋体"/>
          <w:b/>
          <w:sz w:val="28"/>
          <w:szCs w:val="28"/>
        </w:rPr>
        <w:t>（四）拟分包情况表</w:t>
      </w:r>
      <w:bookmarkEnd w:id="74"/>
      <w:bookmarkEnd w:id="75"/>
      <w:bookmarkEnd w:id="76"/>
      <w:r>
        <w:rPr>
          <w:rFonts w:hint="eastAsia" w:hAnsi="宋体" w:cs="宋体"/>
          <w:b/>
          <w:sz w:val="28"/>
          <w:szCs w:val="28"/>
        </w:rPr>
        <w:t>（若允许分包）</w:t>
      </w:r>
    </w:p>
    <w:p w14:paraId="6A7FBDBF">
      <w:pPr>
        <w:pStyle w:val="11"/>
        <w:rPr>
          <w:rFonts w:hint="eastAsia" w:hAnsi="宋体" w:cs="宋体"/>
          <w:b/>
          <w:sz w:val="28"/>
          <w:szCs w:val="28"/>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80"/>
        <w:gridCol w:w="2700"/>
        <w:gridCol w:w="1440"/>
      </w:tblGrid>
      <w:tr w14:paraId="0675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vAlign w:val="center"/>
          </w:tcPr>
          <w:p w14:paraId="419F2C44">
            <w:pPr>
              <w:pStyle w:val="12"/>
              <w:spacing w:line="360" w:lineRule="auto"/>
              <w:jc w:val="center"/>
              <w:rPr>
                <w:rFonts w:hint="eastAsia" w:hAnsi="宋体" w:cs="宋体"/>
                <w:kern w:val="2"/>
              </w:rPr>
            </w:pPr>
            <w:r>
              <w:rPr>
                <w:rFonts w:hint="eastAsia" w:hAnsi="宋体" w:cs="宋体"/>
                <w:kern w:val="2"/>
              </w:rPr>
              <w:t>分包的工程项目</w:t>
            </w:r>
          </w:p>
        </w:tc>
        <w:tc>
          <w:tcPr>
            <w:tcW w:w="1980" w:type="dxa"/>
            <w:vAlign w:val="center"/>
          </w:tcPr>
          <w:p w14:paraId="12720B6A">
            <w:pPr>
              <w:pStyle w:val="12"/>
              <w:spacing w:line="360" w:lineRule="auto"/>
              <w:jc w:val="center"/>
              <w:rPr>
                <w:rFonts w:hint="eastAsia" w:hAnsi="宋体" w:cs="宋体"/>
                <w:kern w:val="2"/>
              </w:rPr>
            </w:pPr>
            <w:r>
              <w:rPr>
                <w:rFonts w:hint="eastAsia" w:hAnsi="宋体" w:cs="宋体"/>
                <w:kern w:val="2"/>
              </w:rPr>
              <w:t>分包人名称</w:t>
            </w:r>
          </w:p>
        </w:tc>
        <w:tc>
          <w:tcPr>
            <w:tcW w:w="2700" w:type="dxa"/>
            <w:vAlign w:val="center"/>
          </w:tcPr>
          <w:p w14:paraId="3C2CABC3">
            <w:pPr>
              <w:pStyle w:val="12"/>
              <w:spacing w:line="360" w:lineRule="auto"/>
              <w:jc w:val="center"/>
              <w:rPr>
                <w:rFonts w:hint="eastAsia" w:hAnsi="宋体" w:cs="宋体"/>
                <w:kern w:val="2"/>
              </w:rPr>
            </w:pPr>
            <w:r>
              <w:rPr>
                <w:rFonts w:hint="eastAsia" w:hAnsi="宋体" w:cs="宋体"/>
                <w:kern w:val="2"/>
              </w:rPr>
              <w:t>分包项目造价（万元）</w:t>
            </w:r>
          </w:p>
        </w:tc>
        <w:tc>
          <w:tcPr>
            <w:tcW w:w="1440" w:type="dxa"/>
            <w:vAlign w:val="center"/>
          </w:tcPr>
          <w:p w14:paraId="18C631E8">
            <w:pPr>
              <w:pStyle w:val="12"/>
              <w:spacing w:line="360" w:lineRule="auto"/>
              <w:jc w:val="center"/>
              <w:rPr>
                <w:rFonts w:hint="eastAsia" w:hAnsi="宋体" w:cs="宋体"/>
                <w:kern w:val="2"/>
              </w:rPr>
            </w:pPr>
            <w:r>
              <w:rPr>
                <w:rFonts w:hint="eastAsia" w:hAnsi="宋体" w:cs="宋体"/>
                <w:kern w:val="2"/>
              </w:rPr>
              <w:t>备注</w:t>
            </w:r>
          </w:p>
        </w:tc>
      </w:tr>
      <w:tr w14:paraId="082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5DC44229">
            <w:pPr>
              <w:pStyle w:val="12"/>
              <w:spacing w:line="360" w:lineRule="auto"/>
              <w:jc w:val="center"/>
              <w:rPr>
                <w:rFonts w:hint="eastAsia" w:hAnsi="宋体" w:cs="宋体"/>
                <w:kern w:val="2"/>
                <w:sz w:val="32"/>
              </w:rPr>
            </w:pPr>
          </w:p>
        </w:tc>
        <w:tc>
          <w:tcPr>
            <w:tcW w:w="1980" w:type="dxa"/>
          </w:tcPr>
          <w:p w14:paraId="4D2B149B">
            <w:pPr>
              <w:pStyle w:val="12"/>
              <w:spacing w:line="360" w:lineRule="auto"/>
              <w:jc w:val="center"/>
              <w:rPr>
                <w:rFonts w:hint="eastAsia" w:hAnsi="宋体" w:cs="宋体"/>
                <w:kern w:val="2"/>
                <w:sz w:val="32"/>
              </w:rPr>
            </w:pPr>
          </w:p>
        </w:tc>
        <w:tc>
          <w:tcPr>
            <w:tcW w:w="2700" w:type="dxa"/>
          </w:tcPr>
          <w:p w14:paraId="08C265DD">
            <w:pPr>
              <w:pStyle w:val="12"/>
              <w:spacing w:line="360" w:lineRule="auto"/>
              <w:jc w:val="center"/>
              <w:rPr>
                <w:rFonts w:hint="eastAsia" w:hAnsi="宋体" w:cs="宋体"/>
                <w:kern w:val="2"/>
                <w:sz w:val="32"/>
              </w:rPr>
            </w:pPr>
          </w:p>
        </w:tc>
        <w:tc>
          <w:tcPr>
            <w:tcW w:w="1440" w:type="dxa"/>
          </w:tcPr>
          <w:p w14:paraId="24CA83D0">
            <w:pPr>
              <w:pStyle w:val="12"/>
              <w:spacing w:line="360" w:lineRule="auto"/>
              <w:jc w:val="center"/>
              <w:rPr>
                <w:rFonts w:hint="eastAsia" w:hAnsi="宋体" w:cs="宋体"/>
                <w:kern w:val="2"/>
                <w:sz w:val="32"/>
              </w:rPr>
            </w:pPr>
          </w:p>
        </w:tc>
      </w:tr>
      <w:tr w14:paraId="5C49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21B5F973">
            <w:pPr>
              <w:pStyle w:val="12"/>
              <w:spacing w:line="360" w:lineRule="auto"/>
              <w:jc w:val="center"/>
              <w:rPr>
                <w:rFonts w:hint="eastAsia" w:hAnsi="宋体" w:cs="宋体"/>
                <w:kern w:val="2"/>
                <w:sz w:val="32"/>
              </w:rPr>
            </w:pPr>
          </w:p>
        </w:tc>
        <w:tc>
          <w:tcPr>
            <w:tcW w:w="1980" w:type="dxa"/>
          </w:tcPr>
          <w:p w14:paraId="5D2F843F">
            <w:pPr>
              <w:pStyle w:val="12"/>
              <w:spacing w:line="360" w:lineRule="auto"/>
              <w:jc w:val="center"/>
              <w:rPr>
                <w:rFonts w:hint="eastAsia" w:hAnsi="宋体" w:cs="宋体"/>
                <w:kern w:val="2"/>
                <w:sz w:val="32"/>
              </w:rPr>
            </w:pPr>
          </w:p>
        </w:tc>
        <w:tc>
          <w:tcPr>
            <w:tcW w:w="2700" w:type="dxa"/>
          </w:tcPr>
          <w:p w14:paraId="02F14C11">
            <w:pPr>
              <w:pStyle w:val="12"/>
              <w:spacing w:line="360" w:lineRule="auto"/>
              <w:jc w:val="center"/>
              <w:rPr>
                <w:rFonts w:hint="eastAsia" w:hAnsi="宋体" w:cs="宋体"/>
                <w:kern w:val="2"/>
                <w:sz w:val="32"/>
              </w:rPr>
            </w:pPr>
          </w:p>
        </w:tc>
        <w:tc>
          <w:tcPr>
            <w:tcW w:w="1440" w:type="dxa"/>
          </w:tcPr>
          <w:p w14:paraId="7DFFE038">
            <w:pPr>
              <w:pStyle w:val="12"/>
              <w:spacing w:line="360" w:lineRule="auto"/>
              <w:jc w:val="center"/>
              <w:rPr>
                <w:rFonts w:hint="eastAsia" w:hAnsi="宋体" w:cs="宋体"/>
                <w:kern w:val="2"/>
                <w:sz w:val="32"/>
              </w:rPr>
            </w:pPr>
          </w:p>
        </w:tc>
      </w:tr>
      <w:tr w14:paraId="54D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1442A055">
            <w:pPr>
              <w:pStyle w:val="12"/>
              <w:spacing w:line="360" w:lineRule="auto"/>
              <w:jc w:val="center"/>
              <w:rPr>
                <w:rFonts w:hint="eastAsia" w:hAnsi="宋体" w:cs="宋体"/>
                <w:kern w:val="2"/>
                <w:sz w:val="32"/>
              </w:rPr>
            </w:pPr>
          </w:p>
        </w:tc>
        <w:tc>
          <w:tcPr>
            <w:tcW w:w="1980" w:type="dxa"/>
          </w:tcPr>
          <w:p w14:paraId="5B0D9287">
            <w:pPr>
              <w:pStyle w:val="12"/>
              <w:spacing w:line="360" w:lineRule="auto"/>
              <w:jc w:val="center"/>
              <w:rPr>
                <w:rFonts w:hint="eastAsia" w:hAnsi="宋体" w:cs="宋体"/>
                <w:kern w:val="2"/>
                <w:sz w:val="32"/>
              </w:rPr>
            </w:pPr>
          </w:p>
        </w:tc>
        <w:tc>
          <w:tcPr>
            <w:tcW w:w="2700" w:type="dxa"/>
          </w:tcPr>
          <w:p w14:paraId="32BB20FB">
            <w:pPr>
              <w:pStyle w:val="12"/>
              <w:spacing w:line="360" w:lineRule="auto"/>
              <w:jc w:val="center"/>
              <w:rPr>
                <w:rFonts w:hint="eastAsia" w:hAnsi="宋体" w:cs="宋体"/>
                <w:kern w:val="2"/>
                <w:sz w:val="32"/>
              </w:rPr>
            </w:pPr>
          </w:p>
        </w:tc>
        <w:tc>
          <w:tcPr>
            <w:tcW w:w="1440" w:type="dxa"/>
          </w:tcPr>
          <w:p w14:paraId="4FED1227">
            <w:pPr>
              <w:pStyle w:val="12"/>
              <w:spacing w:line="360" w:lineRule="auto"/>
              <w:jc w:val="center"/>
              <w:rPr>
                <w:rFonts w:hint="eastAsia" w:hAnsi="宋体" w:cs="宋体"/>
                <w:kern w:val="2"/>
                <w:sz w:val="32"/>
              </w:rPr>
            </w:pPr>
          </w:p>
        </w:tc>
      </w:tr>
      <w:tr w14:paraId="08CE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6C942BB0">
            <w:pPr>
              <w:pStyle w:val="12"/>
              <w:spacing w:line="360" w:lineRule="auto"/>
              <w:jc w:val="center"/>
              <w:rPr>
                <w:rFonts w:hint="eastAsia" w:hAnsi="宋体" w:cs="宋体"/>
                <w:kern w:val="2"/>
                <w:sz w:val="32"/>
              </w:rPr>
            </w:pPr>
          </w:p>
        </w:tc>
        <w:tc>
          <w:tcPr>
            <w:tcW w:w="1980" w:type="dxa"/>
          </w:tcPr>
          <w:p w14:paraId="0B5D018B">
            <w:pPr>
              <w:pStyle w:val="12"/>
              <w:spacing w:line="360" w:lineRule="auto"/>
              <w:jc w:val="center"/>
              <w:rPr>
                <w:rFonts w:hint="eastAsia" w:hAnsi="宋体" w:cs="宋体"/>
                <w:kern w:val="2"/>
                <w:sz w:val="32"/>
              </w:rPr>
            </w:pPr>
          </w:p>
        </w:tc>
        <w:tc>
          <w:tcPr>
            <w:tcW w:w="2700" w:type="dxa"/>
          </w:tcPr>
          <w:p w14:paraId="0A10D5B1">
            <w:pPr>
              <w:pStyle w:val="12"/>
              <w:spacing w:line="360" w:lineRule="auto"/>
              <w:jc w:val="center"/>
              <w:rPr>
                <w:rFonts w:hint="eastAsia" w:hAnsi="宋体" w:cs="宋体"/>
                <w:kern w:val="2"/>
                <w:sz w:val="32"/>
              </w:rPr>
            </w:pPr>
          </w:p>
        </w:tc>
        <w:tc>
          <w:tcPr>
            <w:tcW w:w="1440" w:type="dxa"/>
          </w:tcPr>
          <w:p w14:paraId="42E29083">
            <w:pPr>
              <w:pStyle w:val="12"/>
              <w:spacing w:line="360" w:lineRule="auto"/>
              <w:jc w:val="center"/>
              <w:rPr>
                <w:rFonts w:hint="eastAsia" w:hAnsi="宋体" w:cs="宋体"/>
                <w:kern w:val="2"/>
                <w:sz w:val="32"/>
              </w:rPr>
            </w:pPr>
          </w:p>
        </w:tc>
      </w:tr>
      <w:tr w14:paraId="5F4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7FCF5318">
            <w:pPr>
              <w:pStyle w:val="12"/>
              <w:spacing w:line="360" w:lineRule="auto"/>
              <w:jc w:val="center"/>
              <w:rPr>
                <w:rFonts w:hint="eastAsia" w:hAnsi="宋体" w:cs="宋体"/>
                <w:kern w:val="2"/>
                <w:sz w:val="32"/>
              </w:rPr>
            </w:pPr>
          </w:p>
        </w:tc>
        <w:tc>
          <w:tcPr>
            <w:tcW w:w="1980" w:type="dxa"/>
          </w:tcPr>
          <w:p w14:paraId="4FB3CDB5">
            <w:pPr>
              <w:pStyle w:val="12"/>
              <w:spacing w:line="360" w:lineRule="auto"/>
              <w:jc w:val="center"/>
              <w:rPr>
                <w:rFonts w:hint="eastAsia" w:hAnsi="宋体" w:cs="宋体"/>
                <w:kern w:val="2"/>
                <w:sz w:val="32"/>
              </w:rPr>
            </w:pPr>
          </w:p>
        </w:tc>
        <w:tc>
          <w:tcPr>
            <w:tcW w:w="2700" w:type="dxa"/>
          </w:tcPr>
          <w:p w14:paraId="3FE77AAF">
            <w:pPr>
              <w:pStyle w:val="12"/>
              <w:spacing w:line="360" w:lineRule="auto"/>
              <w:jc w:val="center"/>
              <w:rPr>
                <w:rFonts w:hint="eastAsia" w:hAnsi="宋体" w:cs="宋体"/>
                <w:kern w:val="2"/>
                <w:sz w:val="32"/>
              </w:rPr>
            </w:pPr>
          </w:p>
        </w:tc>
        <w:tc>
          <w:tcPr>
            <w:tcW w:w="1440" w:type="dxa"/>
          </w:tcPr>
          <w:p w14:paraId="2E5A74ED">
            <w:pPr>
              <w:pStyle w:val="12"/>
              <w:spacing w:line="360" w:lineRule="auto"/>
              <w:jc w:val="center"/>
              <w:rPr>
                <w:rFonts w:hint="eastAsia" w:hAnsi="宋体" w:cs="宋体"/>
                <w:kern w:val="2"/>
                <w:sz w:val="32"/>
              </w:rPr>
            </w:pPr>
          </w:p>
        </w:tc>
      </w:tr>
      <w:bookmarkEnd w:id="58"/>
      <w:bookmarkEnd w:id="62"/>
    </w:tbl>
    <w:p w14:paraId="5EB30E77">
      <w:pPr>
        <w:widowControl w:val="0"/>
        <w:kinsoku/>
        <w:autoSpaceDE/>
        <w:autoSpaceDN/>
        <w:adjustRightInd/>
        <w:snapToGrid/>
        <w:jc w:val="both"/>
        <w:textAlignment w:val="auto"/>
        <w:rPr>
          <w:rFonts w:ascii="宋体" w:hAnsi="Times New Roman" w:eastAsia="宋体" w:cs="Times New Roman"/>
          <w:snapToGrid/>
          <w:sz w:val="24"/>
          <w:szCs w:val="20"/>
          <w:lang w:eastAsia="zh-CN"/>
        </w:rPr>
      </w:pPr>
      <w:bookmarkStart w:id="77" w:name="_Hlt42328636"/>
      <w:bookmarkEnd w:id="77"/>
      <w:bookmarkStart w:id="78" w:name="bt中标通知书"/>
      <w:bookmarkEnd w:id="78"/>
    </w:p>
    <w:p w14:paraId="163EE0A5">
      <w:r>
        <w:br w:type="page"/>
      </w:r>
    </w:p>
    <w:p w14:paraId="053CE59F">
      <w:pPr>
        <w:pStyle w:val="12"/>
        <w:spacing w:line="480" w:lineRule="auto"/>
        <w:jc w:val="center"/>
        <w:rPr>
          <w:rFonts w:hint="eastAsia" w:hAnsi="宋体" w:cs="宋体"/>
          <w:b/>
          <w:bCs/>
          <w:sz w:val="30"/>
        </w:rPr>
      </w:pPr>
      <w:r>
        <w:rPr>
          <w:rFonts w:hint="eastAsia" w:hAnsi="宋体" w:cs="宋体"/>
          <w:b/>
          <w:bCs/>
          <w:sz w:val="30"/>
        </w:rPr>
        <w:t>(五)劳动力安排计划表</w:t>
      </w:r>
    </w:p>
    <w:p w14:paraId="0C41C9C6">
      <w:pPr>
        <w:pStyle w:val="12"/>
        <w:ind w:firstLine="7320"/>
        <w:rPr>
          <w:rFonts w:hint="eastAsia" w:hAnsi="宋体" w:cs="宋体"/>
        </w:rPr>
      </w:pPr>
      <w:r>
        <w:rPr>
          <w:rFonts w:hint="eastAsia" w:hAnsi="宋体" w:cs="宋体"/>
        </w:rPr>
        <w:t>单位：人</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208"/>
        <w:gridCol w:w="1209"/>
        <w:gridCol w:w="1209"/>
        <w:gridCol w:w="1209"/>
        <w:gridCol w:w="1209"/>
        <w:gridCol w:w="1209"/>
        <w:gridCol w:w="1218"/>
      </w:tblGrid>
      <w:tr w14:paraId="0041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6" w:type="pct"/>
            <w:vMerge w:val="restart"/>
            <w:vAlign w:val="center"/>
          </w:tcPr>
          <w:p w14:paraId="52E66F92">
            <w:pPr>
              <w:pStyle w:val="12"/>
              <w:spacing w:line="360" w:lineRule="auto"/>
              <w:jc w:val="center"/>
              <w:rPr>
                <w:rFonts w:hint="eastAsia" w:hAnsi="宋体" w:cs="宋体"/>
                <w:kern w:val="2"/>
              </w:rPr>
            </w:pPr>
            <w:r>
              <w:rPr>
                <w:rFonts w:hint="eastAsia" w:hAnsi="宋体" w:cs="宋体"/>
                <w:kern w:val="2"/>
              </w:rPr>
              <w:t>工种</w:t>
            </w:r>
          </w:p>
          <w:p w14:paraId="6D53082E">
            <w:pPr>
              <w:pStyle w:val="12"/>
              <w:spacing w:line="360" w:lineRule="auto"/>
              <w:jc w:val="center"/>
              <w:rPr>
                <w:rFonts w:hint="eastAsia" w:hAnsi="宋体" w:cs="宋体"/>
                <w:kern w:val="2"/>
              </w:rPr>
            </w:pPr>
            <w:r>
              <w:rPr>
                <w:rFonts w:hint="eastAsia" w:hAnsi="宋体" w:cs="宋体"/>
                <w:kern w:val="2"/>
              </w:rPr>
              <w:t>级别</w:t>
            </w:r>
          </w:p>
        </w:tc>
        <w:tc>
          <w:tcPr>
            <w:tcW w:w="4373" w:type="pct"/>
            <w:gridSpan w:val="7"/>
            <w:vAlign w:val="center"/>
          </w:tcPr>
          <w:p w14:paraId="256DCC3E">
            <w:pPr>
              <w:pStyle w:val="12"/>
              <w:spacing w:line="360" w:lineRule="auto"/>
              <w:jc w:val="center"/>
              <w:rPr>
                <w:rFonts w:hint="eastAsia" w:hAnsi="宋体" w:cs="宋体"/>
                <w:kern w:val="2"/>
              </w:rPr>
            </w:pPr>
            <w:r>
              <w:rPr>
                <w:rFonts w:hint="eastAsia" w:hAnsi="宋体" w:cs="宋体"/>
                <w:kern w:val="2"/>
              </w:rPr>
              <w:t>按工程施工阶段投入劳动力情况</w:t>
            </w:r>
          </w:p>
        </w:tc>
      </w:tr>
      <w:tr w14:paraId="1798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6" w:type="pct"/>
            <w:vMerge w:val="continue"/>
            <w:vAlign w:val="center"/>
          </w:tcPr>
          <w:p w14:paraId="5D753953">
            <w:pPr>
              <w:pStyle w:val="12"/>
              <w:spacing w:line="360" w:lineRule="auto"/>
              <w:jc w:val="center"/>
              <w:rPr>
                <w:rFonts w:hint="eastAsia" w:hAnsi="宋体" w:cs="宋体"/>
                <w:kern w:val="2"/>
              </w:rPr>
            </w:pPr>
          </w:p>
        </w:tc>
        <w:tc>
          <w:tcPr>
            <w:tcW w:w="624" w:type="pct"/>
            <w:vAlign w:val="center"/>
          </w:tcPr>
          <w:p w14:paraId="75250E20">
            <w:pPr>
              <w:pStyle w:val="12"/>
              <w:spacing w:line="360" w:lineRule="auto"/>
              <w:jc w:val="center"/>
              <w:rPr>
                <w:rFonts w:hint="eastAsia" w:hAnsi="宋体" w:cs="宋体"/>
                <w:kern w:val="2"/>
              </w:rPr>
            </w:pPr>
          </w:p>
        </w:tc>
        <w:tc>
          <w:tcPr>
            <w:tcW w:w="624" w:type="pct"/>
            <w:vAlign w:val="center"/>
          </w:tcPr>
          <w:p w14:paraId="299BDC36">
            <w:pPr>
              <w:pStyle w:val="12"/>
              <w:spacing w:line="360" w:lineRule="auto"/>
              <w:jc w:val="center"/>
              <w:rPr>
                <w:rFonts w:hint="eastAsia" w:hAnsi="宋体" w:cs="宋体"/>
                <w:kern w:val="2"/>
              </w:rPr>
            </w:pPr>
          </w:p>
        </w:tc>
        <w:tc>
          <w:tcPr>
            <w:tcW w:w="624" w:type="pct"/>
            <w:vAlign w:val="center"/>
          </w:tcPr>
          <w:p w14:paraId="5B5BBD63">
            <w:pPr>
              <w:pStyle w:val="12"/>
              <w:spacing w:line="360" w:lineRule="auto"/>
              <w:jc w:val="center"/>
              <w:rPr>
                <w:rFonts w:hint="eastAsia" w:hAnsi="宋体" w:cs="宋体"/>
                <w:kern w:val="2"/>
              </w:rPr>
            </w:pPr>
          </w:p>
        </w:tc>
        <w:tc>
          <w:tcPr>
            <w:tcW w:w="624" w:type="pct"/>
            <w:vAlign w:val="center"/>
          </w:tcPr>
          <w:p w14:paraId="697D5A86">
            <w:pPr>
              <w:pStyle w:val="12"/>
              <w:spacing w:line="360" w:lineRule="auto"/>
              <w:jc w:val="center"/>
              <w:rPr>
                <w:rFonts w:hint="eastAsia" w:hAnsi="宋体" w:cs="宋体"/>
                <w:kern w:val="2"/>
              </w:rPr>
            </w:pPr>
          </w:p>
        </w:tc>
        <w:tc>
          <w:tcPr>
            <w:tcW w:w="624" w:type="pct"/>
            <w:vAlign w:val="center"/>
          </w:tcPr>
          <w:p w14:paraId="0906C589">
            <w:pPr>
              <w:pStyle w:val="12"/>
              <w:spacing w:line="360" w:lineRule="auto"/>
              <w:jc w:val="center"/>
              <w:rPr>
                <w:rFonts w:hint="eastAsia" w:hAnsi="宋体" w:cs="宋体"/>
                <w:kern w:val="2"/>
              </w:rPr>
            </w:pPr>
          </w:p>
        </w:tc>
        <w:tc>
          <w:tcPr>
            <w:tcW w:w="624" w:type="pct"/>
            <w:vAlign w:val="center"/>
          </w:tcPr>
          <w:p w14:paraId="63D4E019">
            <w:pPr>
              <w:pStyle w:val="12"/>
              <w:spacing w:line="360" w:lineRule="auto"/>
              <w:jc w:val="center"/>
              <w:rPr>
                <w:rFonts w:hint="eastAsia" w:hAnsi="宋体" w:cs="宋体"/>
                <w:kern w:val="2"/>
              </w:rPr>
            </w:pPr>
          </w:p>
        </w:tc>
        <w:tc>
          <w:tcPr>
            <w:tcW w:w="625" w:type="pct"/>
            <w:vAlign w:val="center"/>
          </w:tcPr>
          <w:p w14:paraId="78A61C49">
            <w:pPr>
              <w:pStyle w:val="12"/>
              <w:spacing w:line="360" w:lineRule="auto"/>
              <w:jc w:val="center"/>
              <w:rPr>
                <w:rFonts w:hint="eastAsia" w:hAnsi="宋体" w:cs="宋体"/>
                <w:kern w:val="2"/>
              </w:rPr>
            </w:pPr>
          </w:p>
        </w:tc>
      </w:tr>
      <w:tr w14:paraId="5B84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tcPr>
          <w:p w14:paraId="3ED276B7">
            <w:pPr>
              <w:pStyle w:val="12"/>
              <w:spacing w:line="360" w:lineRule="auto"/>
              <w:rPr>
                <w:rFonts w:hint="eastAsia" w:hAnsi="宋体" w:cs="宋体"/>
                <w:kern w:val="2"/>
                <w:sz w:val="28"/>
              </w:rPr>
            </w:pPr>
          </w:p>
        </w:tc>
        <w:tc>
          <w:tcPr>
            <w:tcW w:w="624" w:type="pct"/>
          </w:tcPr>
          <w:p w14:paraId="2B2117A9">
            <w:pPr>
              <w:pStyle w:val="12"/>
              <w:spacing w:line="360" w:lineRule="auto"/>
              <w:rPr>
                <w:rFonts w:hint="eastAsia" w:hAnsi="宋体" w:cs="宋体"/>
                <w:kern w:val="2"/>
                <w:sz w:val="28"/>
              </w:rPr>
            </w:pPr>
          </w:p>
        </w:tc>
        <w:tc>
          <w:tcPr>
            <w:tcW w:w="624" w:type="pct"/>
          </w:tcPr>
          <w:p w14:paraId="2F956551">
            <w:pPr>
              <w:pStyle w:val="12"/>
              <w:spacing w:line="360" w:lineRule="auto"/>
              <w:rPr>
                <w:rFonts w:hint="eastAsia" w:hAnsi="宋体" w:cs="宋体"/>
                <w:kern w:val="2"/>
                <w:sz w:val="28"/>
              </w:rPr>
            </w:pPr>
          </w:p>
        </w:tc>
        <w:tc>
          <w:tcPr>
            <w:tcW w:w="624" w:type="pct"/>
          </w:tcPr>
          <w:p w14:paraId="115CB3BD">
            <w:pPr>
              <w:pStyle w:val="12"/>
              <w:spacing w:line="360" w:lineRule="auto"/>
              <w:rPr>
                <w:rFonts w:hint="eastAsia" w:hAnsi="宋体" w:cs="宋体"/>
                <w:kern w:val="2"/>
                <w:sz w:val="28"/>
              </w:rPr>
            </w:pPr>
          </w:p>
        </w:tc>
        <w:tc>
          <w:tcPr>
            <w:tcW w:w="624" w:type="pct"/>
          </w:tcPr>
          <w:p w14:paraId="2C680EF0">
            <w:pPr>
              <w:pStyle w:val="12"/>
              <w:spacing w:line="360" w:lineRule="auto"/>
              <w:rPr>
                <w:rFonts w:hint="eastAsia" w:hAnsi="宋体" w:cs="宋体"/>
                <w:kern w:val="2"/>
                <w:sz w:val="28"/>
              </w:rPr>
            </w:pPr>
          </w:p>
        </w:tc>
        <w:tc>
          <w:tcPr>
            <w:tcW w:w="624" w:type="pct"/>
          </w:tcPr>
          <w:p w14:paraId="2F11C649">
            <w:pPr>
              <w:pStyle w:val="12"/>
              <w:spacing w:line="360" w:lineRule="auto"/>
              <w:rPr>
                <w:rFonts w:hint="eastAsia" w:hAnsi="宋体" w:cs="宋体"/>
                <w:kern w:val="2"/>
                <w:sz w:val="28"/>
              </w:rPr>
            </w:pPr>
          </w:p>
        </w:tc>
        <w:tc>
          <w:tcPr>
            <w:tcW w:w="624" w:type="pct"/>
          </w:tcPr>
          <w:p w14:paraId="57F0A1BB">
            <w:pPr>
              <w:pStyle w:val="12"/>
              <w:spacing w:line="360" w:lineRule="auto"/>
              <w:rPr>
                <w:rFonts w:hint="eastAsia" w:hAnsi="宋体" w:cs="宋体"/>
                <w:kern w:val="2"/>
                <w:sz w:val="28"/>
              </w:rPr>
            </w:pPr>
          </w:p>
        </w:tc>
        <w:tc>
          <w:tcPr>
            <w:tcW w:w="625" w:type="pct"/>
          </w:tcPr>
          <w:p w14:paraId="45795A26">
            <w:pPr>
              <w:pStyle w:val="12"/>
              <w:spacing w:line="360" w:lineRule="auto"/>
              <w:rPr>
                <w:rFonts w:hint="eastAsia" w:hAnsi="宋体" w:cs="宋体"/>
                <w:kern w:val="2"/>
                <w:sz w:val="28"/>
              </w:rPr>
            </w:pPr>
          </w:p>
        </w:tc>
      </w:tr>
      <w:tr w14:paraId="4D1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tcPr>
          <w:p w14:paraId="7DB61828">
            <w:pPr>
              <w:pStyle w:val="12"/>
              <w:spacing w:line="360" w:lineRule="auto"/>
              <w:rPr>
                <w:rFonts w:hint="eastAsia" w:hAnsi="宋体" w:cs="宋体"/>
                <w:kern w:val="2"/>
                <w:sz w:val="28"/>
              </w:rPr>
            </w:pPr>
          </w:p>
        </w:tc>
        <w:tc>
          <w:tcPr>
            <w:tcW w:w="624" w:type="pct"/>
          </w:tcPr>
          <w:p w14:paraId="4DC9C45F">
            <w:pPr>
              <w:pStyle w:val="12"/>
              <w:spacing w:line="360" w:lineRule="auto"/>
              <w:rPr>
                <w:rFonts w:hint="eastAsia" w:hAnsi="宋体" w:cs="宋体"/>
                <w:kern w:val="2"/>
                <w:sz w:val="28"/>
              </w:rPr>
            </w:pPr>
          </w:p>
        </w:tc>
        <w:tc>
          <w:tcPr>
            <w:tcW w:w="624" w:type="pct"/>
          </w:tcPr>
          <w:p w14:paraId="507F4481">
            <w:pPr>
              <w:pStyle w:val="12"/>
              <w:spacing w:line="360" w:lineRule="auto"/>
              <w:rPr>
                <w:rFonts w:hint="eastAsia" w:hAnsi="宋体" w:cs="宋体"/>
                <w:kern w:val="2"/>
                <w:sz w:val="28"/>
              </w:rPr>
            </w:pPr>
          </w:p>
        </w:tc>
        <w:tc>
          <w:tcPr>
            <w:tcW w:w="624" w:type="pct"/>
          </w:tcPr>
          <w:p w14:paraId="3D73FA74">
            <w:pPr>
              <w:pStyle w:val="12"/>
              <w:spacing w:line="360" w:lineRule="auto"/>
              <w:rPr>
                <w:rFonts w:hint="eastAsia" w:hAnsi="宋体" w:cs="宋体"/>
                <w:kern w:val="2"/>
                <w:sz w:val="28"/>
              </w:rPr>
            </w:pPr>
          </w:p>
        </w:tc>
        <w:tc>
          <w:tcPr>
            <w:tcW w:w="624" w:type="pct"/>
          </w:tcPr>
          <w:p w14:paraId="255C1C11">
            <w:pPr>
              <w:pStyle w:val="12"/>
              <w:spacing w:line="360" w:lineRule="auto"/>
              <w:rPr>
                <w:rFonts w:hint="eastAsia" w:hAnsi="宋体" w:cs="宋体"/>
                <w:kern w:val="2"/>
                <w:sz w:val="28"/>
              </w:rPr>
            </w:pPr>
          </w:p>
        </w:tc>
        <w:tc>
          <w:tcPr>
            <w:tcW w:w="624" w:type="pct"/>
          </w:tcPr>
          <w:p w14:paraId="59AD8F8A">
            <w:pPr>
              <w:pStyle w:val="12"/>
              <w:spacing w:line="360" w:lineRule="auto"/>
              <w:rPr>
                <w:rFonts w:hint="eastAsia" w:hAnsi="宋体" w:cs="宋体"/>
                <w:kern w:val="2"/>
                <w:sz w:val="28"/>
              </w:rPr>
            </w:pPr>
          </w:p>
        </w:tc>
        <w:tc>
          <w:tcPr>
            <w:tcW w:w="624" w:type="pct"/>
          </w:tcPr>
          <w:p w14:paraId="72689964">
            <w:pPr>
              <w:pStyle w:val="12"/>
              <w:spacing w:line="360" w:lineRule="auto"/>
              <w:rPr>
                <w:rFonts w:hint="eastAsia" w:hAnsi="宋体" w:cs="宋体"/>
                <w:kern w:val="2"/>
                <w:sz w:val="28"/>
              </w:rPr>
            </w:pPr>
          </w:p>
        </w:tc>
        <w:tc>
          <w:tcPr>
            <w:tcW w:w="625" w:type="pct"/>
          </w:tcPr>
          <w:p w14:paraId="31D17FA0">
            <w:pPr>
              <w:pStyle w:val="12"/>
              <w:spacing w:line="360" w:lineRule="auto"/>
              <w:rPr>
                <w:rFonts w:hint="eastAsia" w:hAnsi="宋体" w:cs="宋体"/>
                <w:kern w:val="2"/>
                <w:sz w:val="28"/>
              </w:rPr>
            </w:pPr>
          </w:p>
        </w:tc>
      </w:tr>
      <w:tr w14:paraId="3BA0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tcPr>
          <w:p w14:paraId="748C5CC9">
            <w:pPr>
              <w:pStyle w:val="12"/>
              <w:spacing w:line="360" w:lineRule="auto"/>
              <w:rPr>
                <w:rFonts w:hint="eastAsia" w:hAnsi="宋体" w:cs="宋体"/>
                <w:kern w:val="2"/>
                <w:sz w:val="28"/>
              </w:rPr>
            </w:pPr>
          </w:p>
        </w:tc>
        <w:tc>
          <w:tcPr>
            <w:tcW w:w="624" w:type="pct"/>
          </w:tcPr>
          <w:p w14:paraId="47D072CC">
            <w:pPr>
              <w:pStyle w:val="12"/>
              <w:spacing w:line="360" w:lineRule="auto"/>
              <w:rPr>
                <w:rFonts w:hint="eastAsia" w:hAnsi="宋体" w:cs="宋体"/>
                <w:kern w:val="2"/>
                <w:sz w:val="28"/>
              </w:rPr>
            </w:pPr>
          </w:p>
        </w:tc>
        <w:tc>
          <w:tcPr>
            <w:tcW w:w="624" w:type="pct"/>
          </w:tcPr>
          <w:p w14:paraId="22D0C59E">
            <w:pPr>
              <w:pStyle w:val="12"/>
              <w:spacing w:line="360" w:lineRule="auto"/>
              <w:rPr>
                <w:rFonts w:hint="eastAsia" w:hAnsi="宋体" w:cs="宋体"/>
                <w:kern w:val="2"/>
                <w:sz w:val="28"/>
              </w:rPr>
            </w:pPr>
          </w:p>
        </w:tc>
        <w:tc>
          <w:tcPr>
            <w:tcW w:w="624" w:type="pct"/>
          </w:tcPr>
          <w:p w14:paraId="3E39F925">
            <w:pPr>
              <w:pStyle w:val="12"/>
              <w:spacing w:line="360" w:lineRule="auto"/>
              <w:rPr>
                <w:rFonts w:hint="eastAsia" w:hAnsi="宋体" w:cs="宋体"/>
                <w:kern w:val="2"/>
                <w:sz w:val="28"/>
              </w:rPr>
            </w:pPr>
          </w:p>
        </w:tc>
        <w:tc>
          <w:tcPr>
            <w:tcW w:w="624" w:type="pct"/>
          </w:tcPr>
          <w:p w14:paraId="5117C380">
            <w:pPr>
              <w:pStyle w:val="12"/>
              <w:spacing w:line="360" w:lineRule="auto"/>
              <w:rPr>
                <w:rFonts w:hint="eastAsia" w:hAnsi="宋体" w:cs="宋体"/>
                <w:kern w:val="2"/>
                <w:sz w:val="28"/>
              </w:rPr>
            </w:pPr>
          </w:p>
        </w:tc>
        <w:tc>
          <w:tcPr>
            <w:tcW w:w="624" w:type="pct"/>
          </w:tcPr>
          <w:p w14:paraId="17B3F525">
            <w:pPr>
              <w:pStyle w:val="12"/>
              <w:spacing w:line="360" w:lineRule="auto"/>
              <w:rPr>
                <w:rFonts w:hint="eastAsia" w:hAnsi="宋体" w:cs="宋体"/>
                <w:kern w:val="2"/>
                <w:sz w:val="28"/>
              </w:rPr>
            </w:pPr>
          </w:p>
        </w:tc>
        <w:tc>
          <w:tcPr>
            <w:tcW w:w="624" w:type="pct"/>
          </w:tcPr>
          <w:p w14:paraId="6DD058A4">
            <w:pPr>
              <w:pStyle w:val="12"/>
              <w:spacing w:line="360" w:lineRule="auto"/>
              <w:rPr>
                <w:rFonts w:hint="eastAsia" w:hAnsi="宋体" w:cs="宋体"/>
                <w:kern w:val="2"/>
                <w:sz w:val="28"/>
              </w:rPr>
            </w:pPr>
          </w:p>
        </w:tc>
        <w:tc>
          <w:tcPr>
            <w:tcW w:w="625" w:type="pct"/>
          </w:tcPr>
          <w:p w14:paraId="6CE5815D">
            <w:pPr>
              <w:pStyle w:val="12"/>
              <w:spacing w:line="360" w:lineRule="auto"/>
              <w:rPr>
                <w:rFonts w:hint="eastAsia" w:hAnsi="宋体" w:cs="宋体"/>
                <w:kern w:val="2"/>
                <w:sz w:val="28"/>
              </w:rPr>
            </w:pPr>
          </w:p>
        </w:tc>
      </w:tr>
      <w:tr w14:paraId="326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tcPr>
          <w:p w14:paraId="203E762E">
            <w:pPr>
              <w:pStyle w:val="12"/>
              <w:spacing w:line="360" w:lineRule="auto"/>
              <w:rPr>
                <w:rFonts w:hint="eastAsia" w:hAnsi="宋体" w:cs="宋体"/>
                <w:b/>
                <w:kern w:val="2"/>
                <w:sz w:val="28"/>
              </w:rPr>
            </w:pPr>
          </w:p>
        </w:tc>
        <w:tc>
          <w:tcPr>
            <w:tcW w:w="624" w:type="pct"/>
          </w:tcPr>
          <w:p w14:paraId="17488A32">
            <w:pPr>
              <w:pStyle w:val="12"/>
              <w:spacing w:line="360" w:lineRule="auto"/>
              <w:rPr>
                <w:rFonts w:hint="eastAsia" w:hAnsi="宋体" w:cs="宋体"/>
                <w:kern w:val="2"/>
                <w:sz w:val="28"/>
              </w:rPr>
            </w:pPr>
          </w:p>
        </w:tc>
        <w:tc>
          <w:tcPr>
            <w:tcW w:w="624" w:type="pct"/>
          </w:tcPr>
          <w:p w14:paraId="54EA5E94">
            <w:pPr>
              <w:pStyle w:val="12"/>
              <w:spacing w:line="360" w:lineRule="auto"/>
              <w:rPr>
                <w:rFonts w:hint="eastAsia" w:hAnsi="宋体" w:cs="宋体"/>
                <w:kern w:val="2"/>
                <w:sz w:val="28"/>
              </w:rPr>
            </w:pPr>
          </w:p>
        </w:tc>
        <w:tc>
          <w:tcPr>
            <w:tcW w:w="624" w:type="pct"/>
          </w:tcPr>
          <w:p w14:paraId="3E3B395E">
            <w:pPr>
              <w:pStyle w:val="12"/>
              <w:spacing w:line="360" w:lineRule="auto"/>
              <w:rPr>
                <w:rFonts w:hint="eastAsia" w:hAnsi="宋体" w:cs="宋体"/>
                <w:kern w:val="2"/>
                <w:sz w:val="28"/>
              </w:rPr>
            </w:pPr>
          </w:p>
        </w:tc>
        <w:tc>
          <w:tcPr>
            <w:tcW w:w="624" w:type="pct"/>
          </w:tcPr>
          <w:p w14:paraId="0114B0AE">
            <w:pPr>
              <w:pStyle w:val="12"/>
              <w:spacing w:line="360" w:lineRule="auto"/>
              <w:rPr>
                <w:rFonts w:hint="eastAsia" w:hAnsi="宋体" w:cs="宋体"/>
                <w:kern w:val="2"/>
                <w:sz w:val="28"/>
              </w:rPr>
            </w:pPr>
          </w:p>
        </w:tc>
        <w:tc>
          <w:tcPr>
            <w:tcW w:w="624" w:type="pct"/>
          </w:tcPr>
          <w:p w14:paraId="11CABB69">
            <w:pPr>
              <w:pStyle w:val="12"/>
              <w:spacing w:line="360" w:lineRule="auto"/>
              <w:rPr>
                <w:rFonts w:hint="eastAsia" w:hAnsi="宋体" w:cs="宋体"/>
                <w:kern w:val="2"/>
                <w:sz w:val="28"/>
              </w:rPr>
            </w:pPr>
          </w:p>
        </w:tc>
        <w:tc>
          <w:tcPr>
            <w:tcW w:w="624" w:type="pct"/>
          </w:tcPr>
          <w:p w14:paraId="29846777">
            <w:pPr>
              <w:pStyle w:val="12"/>
              <w:spacing w:line="360" w:lineRule="auto"/>
              <w:rPr>
                <w:rFonts w:hint="eastAsia" w:hAnsi="宋体" w:cs="宋体"/>
                <w:kern w:val="2"/>
                <w:sz w:val="28"/>
              </w:rPr>
            </w:pPr>
          </w:p>
        </w:tc>
        <w:tc>
          <w:tcPr>
            <w:tcW w:w="625" w:type="pct"/>
          </w:tcPr>
          <w:p w14:paraId="578207AC">
            <w:pPr>
              <w:pStyle w:val="12"/>
              <w:spacing w:line="360" w:lineRule="auto"/>
              <w:rPr>
                <w:rFonts w:hint="eastAsia" w:hAnsi="宋体" w:cs="宋体"/>
                <w:kern w:val="2"/>
                <w:sz w:val="28"/>
              </w:rPr>
            </w:pPr>
          </w:p>
        </w:tc>
      </w:tr>
      <w:tr w14:paraId="0CDF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tcPr>
          <w:p w14:paraId="2521C2E3">
            <w:pPr>
              <w:pStyle w:val="12"/>
              <w:spacing w:line="360" w:lineRule="auto"/>
              <w:rPr>
                <w:rFonts w:hint="eastAsia" w:hAnsi="宋体" w:cs="宋体"/>
                <w:b/>
                <w:kern w:val="2"/>
                <w:sz w:val="28"/>
              </w:rPr>
            </w:pPr>
          </w:p>
        </w:tc>
        <w:tc>
          <w:tcPr>
            <w:tcW w:w="624" w:type="pct"/>
          </w:tcPr>
          <w:p w14:paraId="1B3E541C">
            <w:pPr>
              <w:pStyle w:val="12"/>
              <w:spacing w:line="360" w:lineRule="auto"/>
              <w:rPr>
                <w:rFonts w:hint="eastAsia" w:hAnsi="宋体" w:cs="宋体"/>
                <w:kern w:val="2"/>
                <w:sz w:val="28"/>
              </w:rPr>
            </w:pPr>
          </w:p>
        </w:tc>
        <w:tc>
          <w:tcPr>
            <w:tcW w:w="624" w:type="pct"/>
          </w:tcPr>
          <w:p w14:paraId="412D8140">
            <w:pPr>
              <w:pStyle w:val="12"/>
              <w:spacing w:line="360" w:lineRule="auto"/>
              <w:rPr>
                <w:rFonts w:hint="eastAsia" w:hAnsi="宋体" w:cs="宋体"/>
                <w:kern w:val="2"/>
                <w:sz w:val="28"/>
              </w:rPr>
            </w:pPr>
          </w:p>
        </w:tc>
        <w:tc>
          <w:tcPr>
            <w:tcW w:w="624" w:type="pct"/>
          </w:tcPr>
          <w:p w14:paraId="09C44E3E">
            <w:pPr>
              <w:pStyle w:val="12"/>
              <w:spacing w:line="360" w:lineRule="auto"/>
              <w:rPr>
                <w:rFonts w:hint="eastAsia" w:hAnsi="宋体" w:cs="宋体"/>
                <w:kern w:val="2"/>
                <w:sz w:val="28"/>
              </w:rPr>
            </w:pPr>
          </w:p>
        </w:tc>
        <w:tc>
          <w:tcPr>
            <w:tcW w:w="624" w:type="pct"/>
          </w:tcPr>
          <w:p w14:paraId="4AFA59C5">
            <w:pPr>
              <w:pStyle w:val="12"/>
              <w:spacing w:line="360" w:lineRule="auto"/>
              <w:rPr>
                <w:rFonts w:hint="eastAsia" w:hAnsi="宋体" w:cs="宋体"/>
                <w:kern w:val="2"/>
                <w:sz w:val="28"/>
              </w:rPr>
            </w:pPr>
          </w:p>
        </w:tc>
        <w:tc>
          <w:tcPr>
            <w:tcW w:w="624" w:type="pct"/>
          </w:tcPr>
          <w:p w14:paraId="0152ABB8">
            <w:pPr>
              <w:pStyle w:val="12"/>
              <w:spacing w:line="360" w:lineRule="auto"/>
              <w:rPr>
                <w:rFonts w:hint="eastAsia" w:hAnsi="宋体" w:cs="宋体"/>
                <w:kern w:val="2"/>
                <w:sz w:val="28"/>
              </w:rPr>
            </w:pPr>
          </w:p>
        </w:tc>
        <w:tc>
          <w:tcPr>
            <w:tcW w:w="624" w:type="pct"/>
          </w:tcPr>
          <w:p w14:paraId="5B925A74">
            <w:pPr>
              <w:pStyle w:val="12"/>
              <w:spacing w:line="360" w:lineRule="auto"/>
              <w:rPr>
                <w:rFonts w:hint="eastAsia" w:hAnsi="宋体" w:cs="宋体"/>
                <w:kern w:val="2"/>
                <w:sz w:val="28"/>
              </w:rPr>
            </w:pPr>
          </w:p>
        </w:tc>
        <w:tc>
          <w:tcPr>
            <w:tcW w:w="625" w:type="pct"/>
          </w:tcPr>
          <w:p w14:paraId="18A4FF38">
            <w:pPr>
              <w:pStyle w:val="12"/>
              <w:spacing w:line="360" w:lineRule="auto"/>
              <w:rPr>
                <w:rFonts w:hint="eastAsia" w:hAnsi="宋体" w:cs="宋体"/>
                <w:kern w:val="2"/>
                <w:sz w:val="28"/>
              </w:rPr>
            </w:pPr>
          </w:p>
        </w:tc>
      </w:tr>
    </w:tbl>
    <w:p w14:paraId="7D45A503">
      <w:pPr>
        <w:pStyle w:val="12"/>
        <w:spacing w:before="50" w:line="360" w:lineRule="auto"/>
        <w:rPr>
          <w:rFonts w:hint="eastAsia" w:hAnsi="宋体" w:cs="宋体"/>
        </w:rPr>
      </w:pPr>
      <w:bookmarkStart w:id="79" w:name="注劳动力安排计划表"/>
      <w:r>
        <w:rPr>
          <w:rFonts w:hint="eastAsia" w:hAnsi="宋体" w:cs="宋体"/>
        </w:rPr>
        <w:t>注：投标人应接所列格式提交包括分包人在内的估计的劳动力计划表；</w:t>
      </w:r>
    </w:p>
    <w:p w14:paraId="73D85168">
      <w:pPr>
        <w:pStyle w:val="12"/>
        <w:spacing w:before="50" w:line="360" w:lineRule="auto"/>
        <w:ind w:firstLine="480"/>
        <w:rPr>
          <w:rFonts w:hint="eastAsia" w:hAnsi="宋体" w:cs="宋体"/>
        </w:rPr>
      </w:pPr>
      <w:r>
        <w:rPr>
          <w:rFonts w:hint="eastAsia" w:hAnsi="宋体" w:cs="宋体"/>
        </w:rPr>
        <w:t>本计划表是以每班八小时工作制为基础的。</w:t>
      </w:r>
      <w:bookmarkEnd w:id="79"/>
    </w:p>
    <w:p w14:paraId="4CB80395">
      <w:pPr>
        <w:widowControl w:val="0"/>
        <w:kinsoku/>
        <w:autoSpaceDE/>
        <w:autoSpaceDN/>
        <w:adjustRightInd/>
        <w:snapToGrid/>
        <w:jc w:val="both"/>
        <w:textAlignment w:val="auto"/>
        <w:rPr>
          <w:rFonts w:hint="eastAsia" w:ascii="宋体" w:hAnsi="宋体" w:eastAsia="宋体" w:cs="宋体"/>
          <w:snapToGrid/>
          <w:sz w:val="24"/>
          <w:szCs w:val="20"/>
          <w:lang w:eastAsia="zh-CN"/>
        </w:rPr>
      </w:pPr>
    </w:p>
    <w:p w14:paraId="4A6E4E42">
      <w:pPr>
        <w:rPr>
          <w:rFonts w:hAnsi="宋体" w:cs="宋体"/>
          <w:b/>
          <w:sz w:val="28"/>
          <w:szCs w:val="28"/>
          <w:lang w:eastAsia="zh-CN"/>
        </w:rPr>
      </w:pPr>
      <w:bookmarkStart w:id="80" w:name="_Toc171581382"/>
      <w:bookmarkStart w:id="81" w:name="_Toc171581562"/>
      <w:bookmarkStart w:id="82" w:name="_Toc171742005"/>
    </w:p>
    <w:p w14:paraId="04BD1FBC">
      <w:pPr>
        <w:rPr>
          <w:rFonts w:hAnsi="宋体" w:cs="宋体"/>
          <w:b/>
          <w:sz w:val="28"/>
          <w:szCs w:val="28"/>
          <w:lang w:eastAsia="zh-CN"/>
        </w:rPr>
      </w:pPr>
    </w:p>
    <w:p w14:paraId="66771608">
      <w:pPr>
        <w:pStyle w:val="11"/>
        <w:jc w:val="center"/>
        <w:rPr>
          <w:rFonts w:hint="eastAsia" w:hAnsi="宋体" w:cs="宋体"/>
          <w:b/>
          <w:sz w:val="28"/>
          <w:szCs w:val="28"/>
        </w:rPr>
      </w:pPr>
      <w:r>
        <w:rPr>
          <w:rFonts w:hint="eastAsia" w:hAnsi="宋体" w:cs="宋体"/>
          <w:b/>
          <w:sz w:val="28"/>
          <w:szCs w:val="28"/>
        </w:rPr>
        <w:t>（六）设计服务方案</w:t>
      </w:r>
    </w:p>
    <w:p w14:paraId="01952D97">
      <w:pPr>
        <w:pStyle w:val="11"/>
        <w:jc w:val="center"/>
        <w:rPr>
          <w:rFonts w:hint="eastAsia" w:hAnsi="宋体" w:cs="宋体"/>
          <w:bCs/>
          <w:sz w:val="28"/>
          <w:szCs w:val="28"/>
        </w:rPr>
      </w:pPr>
    </w:p>
    <w:p w14:paraId="5302B6EC">
      <w:pPr>
        <w:pStyle w:val="11"/>
        <w:jc w:val="center"/>
        <w:rPr>
          <w:rFonts w:hint="eastAsia" w:hAnsi="宋体" w:cs="宋体"/>
          <w:b/>
          <w:sz w:val="28"/>
          <w:szCs w:val="28"/>
        </w:rPr>
      </w:pPr>
      <w:r>
        <w:rPr>
          <w:rFonts w:hint="eastAsia" w:hAnsi="宋体" w:cs="宋体"/>
          <w:bCs/>
          <w:sz w:val="28"/>
          <w:szCs w:val="28"/>
        </w:rPr>
        <w:t>格式自拟</w:t>
      </w:r>
    </w:p>
    <w:p w14:paraId="2A305700">
      <w:pPr>
        <w:pStyle w:val="11"/>
        <w:rPr>
          <w:rFonts w:hint="eastAsia" w:hAnsi="宋体" w:cs="宋体"/>
          <w:b/>
          <w:sz w:val="28"/>
          <w:szCs w:val="28"/>
        </w:rPr>
      </w:pPr>
    </w:p>
    <w:p w14:paraId="1B866315">
      <w:pPr>
        <w:pStyle w:val="11"/>
        <w:jc w:val="center"/>
        <w:rPr>
          <w:rFonts w:hint="eastAsia" w:hAnsi="宋体" w:cs="宋体"/>
          <w:b/>
          <w:sz w:val="28"/>
          <w:szCs w:val="28"/>
        </w:rPr>
      </w:pPr>
      <w:r>
        <w:rPr>
          <w:rFonts w:hint="eastAsia" w:hAnsi="宋体" w:cs="宋体"/>
          <w:b/>
          <w:sz w:val="28"/>
          <w:szCs w:val="28"/>
        </w:rPr>
        <w:t>(七)施工组织设计</w:t>
      </w:r>
      <w:bookmarkEnd w:id="80"/>
      <w:bookmarkEnd w:id="81"/>
      <w:bookmarkEnd w:id="82"/>
    </w:p>
    <w:p w14:paraId="0D93EC6E">
      <w:pPr>
        <w:pStyle w:val="46"/>
        <w:spacing w:before="48" w:beforeLines="20" w:after="48" w:afterLines="20" w:line="540" w:lineRule="exact"/>
        <w:jc w:val="center"/>
        <w:rPr>
          <w:rFonts w:hint="eastAsia" w:hAnsi="宋体" w:cs="宋体"/>
          <w:bCs/>
          <w:sz w:val="28"/>
          <w:szCs w:val="28"/>
        </w:rPr>
      </w:pPr>
      <w:r>
        <w:rPr>
          <w:rFonts w:hint="eastAsia" w:hAnsi="宋体" w:cs="宋体"/>
          <w:bCs/>
          <w:sz w:val="28"/>
          <w:szCs w:val="28"/>
        </w:rPr>
        <w:t>格式自拟</w:t>
      </w:r>
      <w:bookmarkStart w:id="83" w:name="_Toc8096"/>
      <w:bookmarkStart w:id="84" w:name="_Toc306204893"/>
    </w:p>
    <w:p w14:paraId="3D94D0D9">
      <w:pPr>
        <w:rPr>
          <w:rFonts w:hint="eastAsia" w:ascii="宋体" w:hAnsi="宋体" w:eastAsia="宋体" w:cs="宋体"/>
          <w:b/>
          <w:sz w:val="36"/>
          <w:szCs w:val="36"/>
          <w:lang w:eastAsia="zh-CN"/>
        </w:rPr>
      </w:pPr>
    </w:p>
    <w:p w14:paraId="764171C0">
      <w:pPr>
        <w:rPr>
          <w:rFonts w:hint="eastAsia" w:ascii="宋体" w:hAnsi="宋体" w:eastAsia="宋体" w:cs="宋体"/>
          <w:b/>
          <w:sz w:val="36"/>
          <w:szCs w:val="36"/>
          <w:lang w:eastAsia="zh-CN"/>
        </w:rPr>
      </w:pPr>
    </w:p>
    <w:p w14:paraId="7A12AF54">
      <w:pPr>
        <w:rPr>
          <w:rFonts w:hint="eastAsia" w:ascii="宋体" w:hAnsi="宋体" w:eastAsia="宋体" w:cs="宋体"/>
          <w:b/>
          <w:sz w:val="36"/>
          <w:szCs w:val="36"/>
          <w:lang w:eastAsia="zh-CN"/>
        </w:rPr>
      </w:pPr>
    </w:p>
    <w:p w14:paraId="732C7AB8">
      <w:pPr>
        <w:rPr>
          <w:rFonts w:hint="eastAsia" w:ascii="宋体" w:hAnsi="宋体" w:eastAsia="宋体" w:cs="宋体"/>
          <w:b/>
          <w:sz w:val="36"/>
          <w:szCs w:val="36"/>
          <w:lang w:eastAsia="zh-CN"/>
        </w:rPr>
      </w:pPr>
    </w:p>
    <w:p w14:paraId="111CF318">
      <w:pPr>
        <w:rPr>
          <w:rFonts w:hint="eastAsia" w:ascii="宋体" w:hAnsi="宋体" w:eastAsia="宋体" w:cs="宋体"/>
          <w:b/>
          <w:sz w:val="36"/>
          <w:szCs w:val="36"/>
          <w:lang w:eastAsia="zh-CN"/>
        </w:rPr>
      </w:pPr>
    </w:p>
    <w:p w14:paraId="1EA6A687">
      <w:pPr>
        <w:rPr>
          <w:rFonts w:hint="eastAsia" w:ascii="宋体" w:hAnsi="宋体" w:eastAsia="宋体" w:cs="宋体"/>
          <w:b/>
          <w:sz w:val="36"/>
          <w:szCs w:val="36"/>
          <w:lang w:eastAsia="zh-CN"/>
        </w:rPr>
      </w:pPr>
    </w:p>
    <w:p w14:paraId="7A4F5577">
      <w:pPr>
        <w:rPr>
          <w:rFonts w:hint="eastAsia" w:ascii="宋体" w:hAnsi="宋体" w:eastAsia="宋体" w:cs="宋体"/>
          <w:b/>
          <w:sz w:val="36"/>
          <w:szCs w:val="36"/>
          <w:lang w:eastAsia="zh-CN"/>
        </w:rPr>
      </w:pPr>
    </w:p>
    <w:p w14:paraId="508EC0EC">
      <w:pPr>
        <w:rPr>
          <w:rFonts w:hint="eastAsia" w:ascii="宋体" w:hAnsi="宋体" w:eastAsia="宋体" w:cs="宋体"/>
          <w:b/>
          <w:sz w:val="36"/>
          <w:szCs w:val="36"/>
          <w:lang w:eastAsia="zh-CN"/>
        </w:rPr>
      </w:pPr>
    </w:p>
    <w:p w14:paraId="0F8BFFF8">
      <w:pPr>
        <w:rPr>
          <w:rFonts w:hint="eastAsia" w:ascii="宋体" w:hAnsi="宋体" w:eastAsia="宋体" w:cs="宋体"/>
          <w:b/>
          <w:sz w:val="36"/>
          <w:szCs w:val="36"/>
          <w:lang w:eastAsia="zh-CN"/>
        </w:rPr>
      </w:pPr>
    </w:p>
    <w:p w14:paraId="08E78598">
      <w:pPr>
        <w:rPr>
          <w:rFonts w:hint="eastAsia" w:ascii="宋体" w:hAnsi="宋体" w:eastAsia="宋体" w:cs="宋体"/>
          <w:b/>
          <w:sz w:val="36"/>
          <w:szCs w:val="36"/>
          <w:lang w:eastAsia="zh-CN"/>
        </w:rPr>
      </w:pPr>
    </w:p>
    <w:p w14:paraId="34FCCA0C">
      <w:pPr>
        <w:pStyle w:val="5"/>
        <w:rPr>
          <w:rFonts w:hint="eastAsia" w:ascii="宋体" w:hAnsi="宋体" w:eastAsia="宋体" w:cs="宋体"/>
          <w:b/>
          <w:sz w:val="36"/>
          <w:szCs w:val="36"/>
        </w:rPr>
      </w:pPr>
      <w:r>
        <w:rPr>
          <w:rFonts w:hint="eastAsia" w:ascii="宋体" w:hAnsi="宋体" w:eastAsia="宋体" w:cs="宋体"/>
          <w:b/>
          <w:sz w:val="36"/>
          <w:szCs w:val="36"/>
        </w:rPr>
        <w:t>第五章工程技术经济要求</w:t>
      </w:r>
      <w:bookmarkEnd w:id="83"/>
      <w:bookmarkEnd w:id="84"/>
    </w:p>
    <w:p w14:paraId="60E0002E">
      <w:pPr>
        <w:pStyle w:val="46"/>
        <w:spacing w:before="48" w:beforeLines="20" w:after="48" w:afterLines="20" w:line="540" w:lineRule="exact"/>
        <w:jc w:val="center"/>
        <w:rPr>
          <w:rFonts w:hint="eastAsia" w:hAnsi="宋体" w:cs="宋体"/>
          <w:sz w:val="28"/>
        </w:rPr>
      </w:pPr>
      <w:r>
        <w:rPr>
          <w:rFonts w:hint="eastAsia" w:hAnsi="宋体" w:cs="宋体"/>
          <w:kern w:val="2"/>
          <w:szCs w:val="32"/>
        </w:rPr>
        <w:t>详见施工图纸、相关规范</w:t>
      </w:r>
    </w:p>
    <w:p w14:paraId="0C73CC0A">
      <w:pPr>
        <w:pStyle w:val="46"/>
        <w:spacing w:before="48" w:beforeLines="20" w:after="48" w:afterLines="20" w:line="540" w:lineRule="exact"/>
        <w:jc w:val="center"/>
        <w:rPr>
          <w:rFonts w:hint="eastAsia" w:hAnsi="宋体" w:cs="宋体"/>
          <w:b/>
          <w:bCs/>
          <w:sz w:val="32"/>
        </w:rPr>
      </w:pPr>
    </w:p>
    <w:p w14:paraId="5167619D">
      <w:pPr>
        <w:pStyle w:val="5"/>
        <w:rPr>
          <w:rFonts w:hint="eastAsia" w:ascii="宋体" w:hAnsi="宋体" w:eastAsia="宋体" w:cs="宋体"/>
          <w:b/>
          <w:sz w:val="36"/>
          <w:szCs w:val="36"/>
        </w:rPr>
      </w:pPr>
      <w:bookmarkStart w:id="85" w:name="_Toc306204894"/>
      <w:bookmarkStart w:id="86" w:name="_Toc18851"/>
      <w:r>
        <w:rPr>
          <w:rFonts w:hint="eastAsia" w:ascii="宋体" w:hAnsi="宋体" w:eastAsia="宋体" w:cs="宋体"/>
          <w:b/>
          <w:sz w:val="36"/>
          <w:szCs w:val="36"/>
        </w:rPr>
        <w:t>第六章施工图设计文件</w:t>
      </w:r>
      <w:bookmarkEnd w:id="85"/>
      <w:bookmarkEnd w:id="86"/>
    </w:p>
    <w:p w14:paraId="0618B6E7">
      <w:pPr>
        <w:jc w:val="center"/>
        <w:rPr>
          <w:lang w:eastAsia="zh-CN"/>
        </w:rPr>
      </w:pPr>
      <w:bookmarkStart w:id="87" w:name="_Toc306204895"/>
      <w:bookmarkStart w:id="88" w:name="_Toc15890"/>
      <w:r>
        <w:rPr>
          <w:rFonts w:hint="eastAsia"/>
          <w:lang w:eastAsia="zh-CN"/>
        </w:rPr>
        <w:t>无</w:t>
      </w:r>
    </w:p>
    <w:p w14:paraId="7D2D80D9">
      <w:pPr>
        <w:widowControl w:val="0"/>
        <w:kinsoku/>
        <w:autoSpaceDE/>
        <w:autoSpaceDN/>
        <w:adjustRightInd/>
        <w:snapToGrid/>
        <w:jc w:val="both"/>
        <w:textAlignment w:val="auto"/>
        <w:rPr>
          <w:rFonts w:ascii="宋体" w:hAnsi="Times New Roman" w:eastAsia="宋体" w:cs="Times New Roman"/>
          <w:snapToGrid/>
          <w:sz w:val="24"/>
          <w:szCs w:val="20"/>
          <w:lang w:eastAsia="zh-CN"/>
        </w:rPr>
      </w:pPr>
    </w:p>
    <w:bookmarkEnd w:id="87"/>
    <w:bookmarkEnd w:id="88"/>
    <w:p w14:paraId="55B5093B">
      <w:pPr>
        <w:pStyle w:val="5"/>
        <w:numPr>
          <w:ilvl w:val="0"/>
          <w:numId w:val="11"/>
        </w:numPr>
        <w:rPr>
          <w:rFonts w:hint="eastAsia" w:ascii="宋体" w:hAnsi="宋体" w:eastAsia="宋体" w:cs="宋体"/>
          <w:b/>
          <w:sz w:val="36"/>
          <w:szCs w:val="36"/>
        </w:rPr>
      </w:pPr>
      <w:bookmarkStart w:id="89" w:name="_Toc7567"/>
      <w:bookmarkStart w:id="90" w:name="_Toc306204896"/>
      <w:r>
        <w:rPr>
          <w:rFonts w:hint="eastAsia" w:ascii="宋体" w:hAnsi="宋体" w:eastAsia="宋体" w:cs="宋体"/>
          <w:b/>
          <w:sz w:val="36"/>
          <w:szCs w:val="36"/>
        </w:rPr>
        <w:t>其他资料</w:t>
      </w:r>
    </w:p>
    <w:p w14:paraId="1D2FF4C7">
      <w:pPr>
        <w:rPr>
          <w:lang w:eastAsia="zh-CN"/>
        </w:rPr>
      </w:pPr>
    </w:p>
    <w:bookmarkEnd w:id="89"/>
    <w:bookmarkEnd w:id="90"/>
    <w:p w14:paraId="53CE2FB0">
      <w:pPr>
        <w:pStyle w:val="5"/>
        <w:rPr>
          <w:rFonts w:hint="eastAsia" w:ascii="宋体" w:hAnsi="宋体" w:eastAsia="宋体" w:cs="宋体"/>
          <w:spacing w:val="-2"/>
          <w:sz w:val="24"/>
          <w:szCs w:val="24"/>
          <w:highlight w:val="none"/>
        </w:rPr>
      </w:pPr>
      <w:bookmarkStart w:id="91" w:name="_Toc3796"/>
      <w:r>
        <w:rPr>
          <w:rFonts w:ascii="宋体" w:hAnsi="宋体" w:eastAsia="宋体" w:cs="宋体"/>
          <w:spacing w:val="-2"/>
          <w:sz w:val="24"/>
          <w:szCs w:val="24"/>
          <w:highlight w:val="none"/>
        </w:rPr>
        <w:t>附件资料：本项目初步设计及概算等资料</w:t>
      </w:r>
    </w:p>
    <w:p w14:paraId="28085206">
      <w:pPr>
        <w:widowControl w:val="0"/>
        <w:kinsoku/>
        <w:autoSpaceDE/>
        <w:autoSpaceDN/>
        <w:adjustRightInd/>
        <w:snapToGrid/>
        <w:jc w:val="both"/>
        <w:textAlignment w:val="auto"/>
        <w:rPr>
          <w:rFonts w:ascii="宋体" w:hAnsi="Times New Roman" w:eastAsia="宋体" w:cs="Times New Roman"/>
          <w:snapToGrid/>
          <w:sz w:val="24"/>
          <w:szCs w:val="20"/>
          <w:highlight w:val="none"/>
          <w:lang w:eastAsia="zh-CN"/>
        </w:rPr>
      </w:pPr>
    </w:p>
    <w:p w14:paraId="623F76E9">
      <w:pPr>
        <w:rPr>
          <w:lang w:eastAsia="zh-CN"/>
        </w:rPr>
      </w:pPr>
    </w:p>
    <w:p w14:paraId="37C1B478">
      <w:pPr>
        <w:pStyle w:val="5"/>
        <w:rPr>
          <w:rFonts w:hint="eastAsia" w:ascii="宋体" w:hAnsi="宋体" w:eastAsia="宋体" w:cs="宋体"/>
          <w:b/>
          <w:sz w:val="36"/>
          <w:szCs w:val="36"/>
        </w:rPr>
      </w:pPr>
      <w:r>
        <w:rPr>
          <w:rFonts w:hint="eastAsia" w:ascii="宋体" w:hAnsi="宋体" w:eastAsia="宋体" w:cs="宋体"/>
          <w:b/>
          <w:sz w:val="36"/>
          <w:szCs w:val="36"/>
        </w:rPr>
        <w:t>第八章不见面开标</w:t>
      </w:r>
      <w:bookmarkEnd w:id="91"/>
      <w:r>
        <w:rPr>
          <w:rFonts w:hint="eastAsia" w:ascii="宋体" w:hAnsi="宋体" w:eastAsia="宋体" w:cs="宋体"/>
          <w:b/>
          <w:sz w:val="36"/>
          <w:szCs w:val="36"/>
        </w:rPr>
        <w:t>注意事项</w:t>
      </w:r>
    </w:p>
    <w:p w14:paraId="1D3521AF">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第一条不见面开标时间以六安市公共资源交易不见面开标系统显示时间为准。</w:t>
      </w:r>
    </w:p>
    <w:p w14:paraId="1A59F1FF">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二条参与不见面开标的招标人（采购人）或其委托的代理机构、投标人（供应商）等交易主体，应当按照规定取得和使用数字证书及电子签章。各方主体在电子系统中所有操作均具有法律效力，并承担法律责任。</w:t>
      </w:r>
    </w:p>
    <w:p w14:paraId="07A578B1">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三条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213C27D">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第四条投标人（供应商）应在投标截止时间之前使用数字证书（即CA专用锁）或手机扫描（以招标采购文件约定为准）自行登陆不见面开标大厅。</w:t>
      </w:r>
    </w:p>
    <w:p w14:paraId="7B192B58">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五条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0FA0CB94">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投标人（供应商）未按规定完成解密，视为放弃投标。</w:t>
      </w:r>
    </w:p>
    <w:p w14:paraId="26AEA2F1">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第六条投标人（供应商）应妥善保管和正确使用数字证书，期满前及时到证书颁发机构办理续期。</w:t>
      </w:r>
    </w:p>
    <w:p w14:paraId="14ADB78B">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出现下列情况的，投标人（供应商）须重新用数字证书电子签章和加密投标文件，并在投标文件递交截止时间前将投标文件上传到达至六安市公共资源电子交易系统：</w:t>
      </w:r>
    </w:p>
    <w:p w14:paraId="6767079E">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（一）数字证书到期后重新续期；</w:t>
      </w:r>
    </w:p>
    <w:p w14:paraId="769C141C">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（二）数字证书因遗失、损坏、企业信息变更等情况更换新证书。</w:t>
      </w:r>
    </w:p>
    <w:p w14:paraId="5CBC5C99">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投标人（供应商）由于数字证书遗失、损坏、更换、续期等原因导致投标文件无法解密，由投标人（供应商）自行承担责任。</w:t>
      </w:r>
    </w:p>
    <w:p w14:paraId="41393F1C">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七条各投标人（供应商）在项目开标、评标（审）期间应保持在线状态，随时通过电子交易系统接受评标（审）委员会发出的询标信息，并在规定时间内答复，未能按时答复的，评标（审）委员会将视同其放弃澄清。</w:t>
      </w:r>
    </w:p>
    <w:p w14:paraId="4C36F3BB">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第八条出现下列情形导致系统无法正常运行，或者无法保证交易过程的公平、公正和信息安全时，各方当事人免责：</w:t>
      </w:r>
    </w:p>
    <w:p w14:paraId="73312F9D">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（一）网络服务器发生故障而无法访问网站或无法使用不见面开标系统的；</w:t>
      </w:r>
    </w:p>
    <w:p w14:paraId="40FC7C57">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（二）不见面开标系统的软件或网络数据库出现错误，不能进行正常操作的；</w:t>
      </w:r>
    </w:p>
    <w:p w14:paraId="313AFB6F">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（三）不见面开标系统发现有安全漏洞，有潜在的泄密危险的；</w:t>
      </w:r>
    </w:p>
    <w:p w14:paraId="3ECCA565">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（四）计算机病毒发作导致系统无法正常运行的；</w:t>
      </w:r>
    </w:p>
    <w:p w14:paraId="4BF1E5E3">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（五）电力系统发生故障导致不见面开标系统无法运行的；</w:t>
      </w:r>
    </w:p>
    <w:p w14:paraId="1A0D1946">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（六）其他无法保证交易过程公平、公正和信息安全的情形。</w:t>
      </w:r>
    </w:p>
    <w:p w14:paraId="038F43D0">
      <w:pPr>
        <w:widowControl w:val="0"/>
        <w:kinsoku/>
        <w:autoSpaceDE/>
        <w:autoSpaceDN/>
        <w:spacing w:before="48" w:beforeLines="20" w:after="48" w:afterLines="20" w:line="540" w:lineRule="exact"/>
        <w:ind w:firstLine="480" w:firstLineChars="200"/>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第九条出现第八条所列情形，不能及时解决的，应由招标人（采购人）和交易中心及时会商，并报告公共资源交易监管部门，采取以下方式处理：</w:t>
      </w:r>
    </w:p>
    <w:p w14:paraId="2A292A93">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（一）系统或网络故障在三个小时内排除并通过可靠测试的，恢复系统运行后可继续项目开标；</w:t>
      </w:r>
    </w:p>
    <w:p w14:paraId="08532318">
      <w:pPr>
        <w:widowControl w:val="0"/>
        <w:kinsoku/>
        <w:autoSpaceDE/>
        <w:autoSpaceDN/>
        <w:spacing w:before="48" w:beforeLines="20" w:after="48" w:afterLines="20" w:line="540" w:lineRule="exact"/>
        <w:jc w:val="both"/>
        <w:textAlignment w:val="auto"/>
        <w:rPr>
          <w:rFonts w:hint="eastAsia" w:ascii="宋体" w:hAnsi="宋体" w:eastAsia="宋体" w:cs="宋体"/>
          <w:snapToGrid/>
          <w:sz w:val="24"/>
          <w:szCs w:val="20"/>
          <w:lang w:eastAsia="zh-CN"/>
        </w:rPr>
      </w:pPr>
      <w:r>
        <w:rPr>
          <w:rFonts w:hint="eastAsia" w:ascii="宋体" w:hAnsi="宋体" w:eastAsia="宋体" w:cs="宋体"/>
          <w:snapToGrid/>
          <w:sz w:val="24"/>
          <w:szCs w:val="20"/>
          <w:lang w:eastAsia="zh-CN"/>
        </w:rPr>
        <w:t>（二）系统或网络故障在三个小时内未能排除的，可依法中止开标,做好招投标资料的封存和保密工作,待故障解除后重新开标。</w:t>
      </w:r>
    </w:p>
    <w:p w14:paraId="78761373">
      <w:pPr>
        <w:pStyle w:val="11"/>
        <w:spacing w:line="360" w:lineRule="auto"/>
        <w:ind w:firstLine="480" w:firstLineChars="200"/>
        <w:jc w:val="left"/>
        <w:rPr>
          <w:rFonts w:hint="eastAsia" w:hAnsi="宋体" w:cs="宋体"/>
          <w:kern w:val="2"/>
          <w:szCs w:val="32"/>
        </w:rPr>
      </w:pPr>
    </w:p>
    <w:p w14:paraId="64D52AC5">
      <w:pPr>
        <w:rPr>
          <w:lang w:eastAsia="zh-CN"/>
        </w:rPr>
      </w:pPr>
    </w:p>
    <w:sectPr>
      <w:headerReference r:id="rId17" w:type="default"/>
      <w:footerReference r:id="rId18" w:type="default"/>
      <w:pgSz w:w="11907" w:h="16839"/>
      <w:pgMar w:top="969" w:right="1219" w:bottom="1225" w:left="1219" w:header="567"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EA5D">
    <w:pPr>
      <w:widowControl w:val="0"/>
      <w:spacing w:after="60" w:line="228" w:lineRule="auto"/>
      <w:ind w:left="63" w:leftChars="30" w:right="63" w:rightChars="30"/>
      <w:jc w:val="center"/>
      <w:rPr>
        <w:rFonts w:ascii="Times New Roman" w:hAnsi="Times New Roman" w:eastAsia="宋体" w:cs="Times New Roman"/>
        <w:sz w:val="18"/>
        <w:szCs w:val="1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6ADF">
    <w:pPr>
      <w:pStyle w:val="3"/>
      <w:spacing w:line="225" w:lineRule="auto"/>
      <w:ind w:left="407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DADFA">
                          <w:pPr>
                            <w:pStyle w:val="1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1ADADFA">
                    <w:pPr>
                      <w:pStyle w:val="1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B9EF">
    <w:pPr>
      <w:pStyle w:val="3"/>
      <w:spacing w:line="225" w:lineRule="auto"/>
      <w:ind w:left="445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A74F0">
                          <w:pPr>
                            <w:pStyle w:val="1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033A74F0">
                    <w:pPr>
                      <w:pStyle w:val="1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B1E6">
    <w:pPr>
      <w:pStyle w:val="1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DF0C">
                          <w:pPr>
                            <w:pStyle w:val="1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6F06DF0C">
                    <w:pPr>
                      <w:pStyle w:val="1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307A">
    <w:pPr>
      <w:spacing w:line="238" w:lineRule="auto"/>
      <w:ind w:left="404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34315" cy="11938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34315" cy="11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6CEDC">
                          <w:pPr>
                            <w:pStyle w:val="1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9.4pt;width:18.45pt;mso-position-horizontal:center;mso-position-horizontal-relative:margin;z-index:251669504;mso-width-relative:page;mso-height-relative:page;" filled="f" stroked="f" coordsize="21600,21600" o:gfxdata="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lv2V7SAAAAAwEAAA8AAAAAAAAAAQAgAAAAIgAAAGRycy9kb3ducmV2LnhtbFBLAQIU&#10;ABQAAAAIAIdO4kD9RwmoMgIAAFcEAAAOAAAAAAAAAAEAIAAAACEBAABkcnMvZTJvRG9jLnhtbFBL&#10;BQYAAAAABgAGAFkBAADFBQAAAAA=&#10;">
              <v:fill on="f" focussize="0,0"/>
              <v:stroke on="f" weight="0.5pt"/>
              <v:imagedata o:title=""/>
              <o:lock v:ext="edit" aspectratio="f"/>
              <v:textbox inset="0mm,0mm,0mm,0mm">
                <w:txbxContent>
                  <w:p w14:paraId="3D26CEDC">
                    <w:pPr>
                      <w:pStyle w:val="1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3F6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10B2">
    <w:pPr>
      <w:widowControl w:val="0"/>
      <w:spacing w:after="60" w:line="228" w:lineRule="auto"/>
      <w:ind w:left="63" w:leftChars="30" w:right="63" w:rightChars="30"/>
      <w:jc w:val="center"/>
      <w:rPr>
        <w:rFonts w:ascii="Times New Roman" w:hAnsi="Times New Roman" w:eastAsia="宋体" w:cs="Times New Roman"/>
        <w:sz w:val="18"/>
        <w:szCs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A2AB">
    <w:pPr>
      <w:widowControl w:val="0"/>
      <w:rPr>
        <w:rFonts w:ascii="宋体" w:hAnsi="Times New Roman" w:eastAsia="宋体" w:cs="Times New Roman"/>
        <w:sz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2835275</wp:posOffset>
              </wp:positionH>
              <wp:positionV relativeFrom="paragraph">
                <wp:posOffset>-179705</wp:posOffset>
              </wp:positionV>
              <wp:extent cx="218440" cy="1289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18440" cy="128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2DE8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25pt;margin-top:-14.15pt;height:10.15pt;width:17.2pt;mso-position-horizontal-relative:margin;z-index:251659264;mso-width-relative:page;mso-height-relative:page;" filled="f" stroked="f" coordsize="21600,21600" o:gfxdata="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PWeZ9kAAAAKAQAADwAAAAAAAAABACAAAAAiAAAAZHJzL2Rvd25yZXYu&#10;eG1sUEsBAhQAFAAAAAgAh07iQEaab88zAgAAVwQAAA4AAAAAAAAAAQAgAAAAKAEAAGRycy9lMm9E&#10;b2MueG1sUEsFBgAAAAAGAAYAWQEAAM0FAAAAAA==&#10;">
              <v:fill on="f" focussize="0,0"/>
              <v:stroke on="f" weight="0.5pt"/>
              <v:imagedata o:title=""/>
              <o:lock v:ext="edit" aspectratio="f"/>
              <v:textbox inset="0mm,0mm,0mm,0mm">
                <w:txbxContent>
                  <w:p w14:paraId="1222DE8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94BE">
    <w:pPr>
      <w:widowControl w:val="0"/>
      <w:rPr>
        <w:rFonts w:ascii="宋体" w:hAnsi="Times New Roman" w:eastAsia="宋体" w:cs="Times New Roman"/>
        <w:sz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C551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2AC551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3182">
    <w:pPr>
      <w:pStyle w:val="3"/>
      <w:spacing w:line="225" w:lineRule="auto"/>
      <w:ind w:left="408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7C2E">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B967C2E">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5EB4">
    <w:pPr>
      <w:pStyle w:val="3"/>
      <w:spacing w:line="225" w:lineRule="auto"/>
      <w:ind w:left="4078"/>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5C0B8">
                          <w:pPr>
                            <w:pStyle w:val="1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67F5C0B8">
                    <w:pPr>
                      <w:pStyle w:val="1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9330">
    <w:pPr>
      <w:pStyle w:val="3"/>
      <w:spacing w:line="225" w:lineRule="auto"/>
      <w:ind w:left="407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537FC">
                          <w:pPr>
                            <w:pStyle w:val="1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48E537FC">
                    <w:pPr>
                      <w:pStyle w:val="1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20B3">
    <w:pPr>
      <w:pStyle w:val="3"/>
      <w:spacing w:line="225" w:lineRule="auto"/>
      <w:ind w:left="408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BCAF3">
                          <w:pPr>
                            <w:pStyle w:val="1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02BCAF3">
                    <w:pPr>
                      <w:pStyle w:val="1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191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B0C7">
    <w:pPr>
      <w:widowControl w:val="0"/>
      <w:pBdr>
        <w:top w:val="none" w:color="auto" w:sz="0" w:space="1"/>
        <w:left w:val="none" w:color="auto" w:sz="0" w:space="4"/>
        <w:right w:val="none" w:color="auto" w:sz="0" w:space="4"/>
      </w:pBdr>
      <w:jc w:val="both"/>
      <w:rPr>
        <w:rFonts w:ascii="Times New Roman" w:hAnsi="Times New Roman" w:eastAsia="宋体" w:cs="Times New Roman"/>
        <w:sz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EFA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C396A"/>
    <w:multiLevelType w:val="singleLevel"/>
    <w:tmpl w:val="898C396A"/>
    <w:lvl w:ilvl="0" w:tentative="0">
      <w:start w:val="1"/>
      <w:numFmt w:val="chineseCounting"/>
      <w:suff w:val="nothing"/>
      <w:lvlText w:val="%1、"/>
      <w:lvlJc w:val="left"/>
      <w:rPr>
        <w:rFonts w:hint="eastAsia"/>
      </w:rPr>
    </w:lvl>
  </w:abstractNum>
  <w:abstractNum w:abstractNumId="1">
    <w:nsid w:val="9D8F0A96"/>
    <w:multiLevelType w:val="singleLevel"/>
    <w:tmpl w:val="9D8F0A96"/>
    <w:lvl w:ilvl="0" w:tentative="0">
      <w:start w:val="3"/>
      <w:numFmt w:val="chineseCounting"/>
      <w:suff w:val="nothing"/>
      <w:lvlText w:val="%1、"/>
      <w:lvlJc w:val="left"/>
      <w:rPr>
        <w:rFonts w:hint="eastAsia"/>
      </w:rPr>
    </w:lvl>
  </w:abstractNum>
  <w:abstractNum w:abstractNumId="2">
    <w:nsid w:val="A22D3DB0"/>
    <w:multiLevelType w:val="singleLevel"/>
    <w:tmpl w:val="A22D3DB0"/>
    <w:lvl w:ilvl="0" w:tentative="0">
      <w:start w:val="1"/>
      <w:numFmt w:val="chineseCounting"/>
      <w:suff w:val="nothing"/>
      <w:lvlText w:val="（%1）"/>
      <w:lvlJc w:val="left"/>
      <w:rPr>
        <w:rFonts w:hint="eastAsia"/>
      </w:rPr>
    </w:lvl>
  </w:abstractNum>
  <w:abstractNum w:abstractNumId="3">
    <w:nsid w:val="B9E472A2"/>
    <w:multiLevelType w:val="singleLevel"/>
    <w:tmpl w:val="B9E472A2"/>
    <w:lvl w:ilvl="0" w:tentative="0">
      <w:start w:val="7"/>
      <w:numFmt w:val="chineseCounting"/>
      <w:suff w:val="space"/>
      <w:lvlText w:val="第%1章"/>
      <w:lvlJc w:val="left"/>
      <w:rPr>
        <w:rFonts w:hint="eastAsia"/>
      </w:rPr>
    </w:lvl>
  </w:abstractNum>
  <w:abstractNum w:abstractNumId="4">
    <w:nsid w:val="BC44D79D"/>
    <w:multiLevelType w:val="singleLevel"/>
    <w:tmpl w:val="BC44D79D"/>
    <w:lvl w:ilvl="0" w:tentative="0">
      <w:start w:val="2"/>
      <w:numFmt w:val="chineseCounting"/>
      <w:suff w:val="nothing"/>
      <w:lvlText w:val="（%1）"/>
      <w:lvlJc w:val="left"/>
      <w:rPr>
        <w:rFonts w:hint="eastAsia"/>
      </w:rPr>
    </w:lvl>
  </w:abstractNum>
  <w:abstractNum w:abstractNumId="5">
    <w:nsid w:val="0000000B"/>
    <w:multiLevelType w:val="singleLevel"/>
    <w:tmpl w:val="0000000B"/>
    <w:lvl w:ilvl="0" w:tentative="0">
      <w:start w:val="1"/>
      <w:numFmt w:val="decimal"/>
      <w:suff w:val="nothing"/>
      <w:lvlText w:val="%1、"/>
      <w:lvlJc w:val="left"/>
    </w:lvl>
  </w:abstractNum>
  <w:abstractNum w:abstractNumId="6">
    <w:nsid w:val="193B0D4D"/>
    <w:multiLevelType w:val="singleLevel"/>
    <w:tmpl w:val="193B0D4D"/>
    <w:lvl w:ilvl="0" w:tentative="0">
      <w:start w:val="4"/>
      <w:numFmt w:val="decimal"/>
      <w:suff w:val="nothing"/>
      <w:lvlText w:val="%1、"/>
      <w:lvlJc w:val="left"/>
    </w:lvl>
  </w:abstractNum>
  <w:abstractNum w:abstractNumId="7">
    <w:nsid w:val="4272CA1A"/>
    <w:multiLevelType w:val="singleLevel"/>
    <w:tmpl w:val="4272CA1A"/>
    <w:lvl w:ilvl="0" w:tentative="0">
      <w:start w:val="1"/>
      <w:numFmt w:val="decimal"/>
      <w:suff w:val="nothing"/>
      <w:lvlText w:val="%1、"/>
      <w:lvlJc w:val="left"/>
    </w:lvl>
  </w:abstractNum>
  <w:abstractNum w:abstractNumId="8">
    <w:nsid w:val="57B6383B"/>
    <w:multiLevelType w:val="multilevel"/>
    <w:tmpl w:val="57B6383B"/>
    <w:lvl w:ilvl="0" w:tentative="0">
      <w:start w:val="2"/>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61F00541"/>
    <w:multiLevelType w:val="singleLevel"/>
    <w:tmpl w:val="61F00541"/>
    <w:lvl w:ilvl="0" w:tentative="0">
      <w:start w:val="3"/>
      <w:numFmt w:val="chineseCounting"/>
      <w:suff w:val="nothing"/>
      <w:lvlText w:val="（%1）"/>
      <w:lvlJc w:val="left"/>
      <w:rPr>
        <w:rFonts w:hint="eastAsia"/>
      </w:rPr>
    </w:lvl>
  </w:abstractNum>
  <w:abstractNum w:abstractNumId="10">
    <w:nsid w:val="6B2B58FC"/>
    <w:multiLevelType w:val="singleLevel"/>
    <w:tmpl w:val="6B2B58FC"/>
    <w:lvl w:ilvl="0" w:tentative="0">
      <w:start w:val="2"/>
      <w:numFmt w:val="decimal"/>
      <w:suff w:val="nothing"/>
      <w:lvlText w:val="（%1）"/>
      <w:lvlJc w:val="left"/>
    </w:lvl>
  </w:abstractNum>
  <w:num w:numId="1">
    <w:abstractNumId w:val="2"/>
  </w:num>
  <w:num w:numId="2">
    <w:abstractNumId w:val="10"/>
  </w:num>
  <w:num w:numId="3">
    <w:abstractNumId w:val="6"/>
  </w:num>
  <w:num w:numId="4">
    <w:abstractNumId w:val="7"/>
  </w:num>
  <w:num w:numId="5">
    <w:abstractNumId w:val="4"/>
  </w:num>
  <w:num w:numId="6">
    <w:abstractNumId w:val="0"/>
  </w:num>
  <w:num w:numId="7">
    <w:abstractNumId w:val="5"/>
  </w:num>
  <w:num w:numId="8">
    <w:abstractNumId w:val="8"/>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20"/>
    <w:rsid w:val="000429D1"/>
    <w:rsid w:val="00044020"/>
    <w:rsid w:val="000630B5"/>
    <w:rsid w:val="00086F86"/>
    <w:rsid w:val="00186642"/>
    <w:rsid w:val="00187FE2"/>
    <w:rsid w:val="001D5715"/>
    <w:rsid w:val="0025489C"/>
    <w:rsid w:val="00273BDE"/>
    <w:rsid w:val="0030472C"/>
    <w:rsid w:val="00325D2F"/>
    <w:rsid w:val="00375DEC"/>
    <w:rsid w:val="00400A6C"/>
    <w:rsid w:val="004D00E5"/>
    <w:rsid w:val="0059233B"/>
    <w:rsid w:val="005E59D3"/>
    <w:rsid w:val="00605F14"/>
    <w:rsid w:val="006C371F"/>
    <w:rsid w:val="007B5449"/>
    <w:rsid w:val="00863D29"/>
    <w:rsid w:val="00881CF6"/>
    <w:rsid w:val="008F34EC"/>
    <w:rsid w:val="00975A4C"/>
    <w:rsid w:val="00993A89"/>
    <w:rsid w:val="00AC158B"/>
    <w:rsid w:val="00B4295D"/>
    <w:rsid w:val="00BB393D"/>
    <w:rsid w:val="00C30143"/>
    <w:rsid w:val="00CE3A8A"/>
    <w:rsid w:val="00D06BF6"/>
    <w:rsid w:val="00D130BD"/>
    <w:rsid w:val="00D648ED"/>
    <w:rsid w:val="00E034F1"/>
    <w:rsid w:val="00FA55C2"/>
    <w:rsid w:val="00FD0157"/>
    <w:rsid w:val="01797350"/>
    <w:rsid w:val="01C220B2"/>
    <w:rsid w:val="01DF2FD2"/>
    <w:rsid w:val="01E303F1"/>
    <w:rsid w:val="022F0983"/>
    <w:rsid w:val="028E3199"/>
    <w:rsid w:val="02FA5AF8"/>
    <w:rsid w:val="034058B6"/>
    <w:rsid w:val="03936CB9"/>
    <w:rsid w:val="03D139D0"/>
    <w:rsid w:val="04301488"/>
    <w:rsid w:val="04B60D3D"/>
    <w:rsid w:val="05EA78BF"/>
    <w:rsid w:val="067008A7"/>
    <w:rsid w:val="07036F3E"/>
    <w:rsid w:val="072072E5"/>
    <w:rsid w:val="07C1191B"/>
    <w:rsid w:val="08350F98"/>
    <w:rsid w:val="084273DF"/>
    <w:rsid w:val="0A0F4BBF"/>
    <w:rsid w:val="0A502964"/>
    <w:rsid w:val="0A8A06EA"/>
    <w:rsid w:val="0AAC3902"/>
    <w:rsid w:val="0ADB7DE9"/>
    <w:rsid w:val="0B6B4077"/>
    <w:rsid w:val="0B735648"/>
    <w:rsid w:val="0D7861E0"/>
    <w:rsid w:val="0D8F2549"/>
    <w:rsid w:val="0DB42190"/>
    <w:rsid w:val="0F2A5EAE"/>
    <w:rsid w:val="0F7D7799"/>
    <w:rsid w:val="10120F66"/>
    <w:rsid w:val="103E709A"/>
    <w:rsid w:val="10A165FC"/>
    <w:rsid w:val="11151EAA"/>
    <w:rsid w:val="114421F7"/>
    <w:rsid w:val="12A839BF"/>
    <w:rsid w:val="130432BB"/>
    <w:rsid w:val="135576AB"/>
    <w:rsid w:val="13CF3AE2"/>
    <w:rsid w:val="142B4CEC"/>
    <w:rsid w:val="14A7084B"/>
    <w:rsid w:val="15047114"/>
    <w:rsid w:val="150F0005"/>
    <w:rsid w:val="152446DB"/>
    <w:rsid w:val="164B1E51"/>
    <w:rsid w:val="1654562B"/>
    <w:rsid w:val="16646E2A"/>
    <w:rsid w:val="16756754"/>
    <w:rsid w:val="16AB2627"/>
    <w:rsid w:val="16E15B36"/>
    <w:rsid w:val="16F66347"/>
    <w:rsid w:val="174F2A9F"/>
    <w:rsid w:val="185C6DCF"/>
    <w:rsid w:val="18AC2D27"/>
    <w:rsid w:val="18F128FB"/>
    <w:rsid w:val="18FB7AA1"/>
    <w:rsid w:val="19866520"/>
    <w:rsid w:val="19AA6CC8"/>
    <w:rsid w:val="1A1E6B79"/>
    <w:rsid w:val="1A720919"/>
    <w:rsid w:val="1ABC3B86"/>
    <w:rsid w:val="1ABF2195"/>
    <w:rsid w:val="1ACF1D21"/>
    <w:rsid w:val="1AE14356"/>
    <w:rsid w:val="1BC25F36"/>
    <w:rsid w:val="1BE55B0D"/>
    <w:rsid w:val="1C494B21"/>
    <w:rsid w:val="1C62208B"/>
    <w:rsid w:val="1CB11368"/>
    <w:rsid w:val="1CE151B2"/>
    <w:rsid w:val="1D100489"/>
    <w:rsid w:val="1DB72E7F"/>
    <w:rsid w:val="1E326C77"/>
    <w:rsid w:val="1E51269A"/>
    <w:rsid w:val="1E5B3C06"/>
    <w:rsid w:val="1EFF541A"/>
    <w:rsid w:val="1F932EAC"/>
    <w:rsid w:val="1FFA25B9"/>
    <w:rsid w:val="206E5E5F"/>
    <w:rsid w:val="209B7C66"/>
    <w:rsid w:val="20D91B99"/>
    <w:rsid w:val="211C377D"/>
    <w:rsid w:val="214851A7"/>
    <w:rsid w:val="219502AF"/>
    <w:rsid w:val="21CA1C53"/>
    <w:rsid w:val="22991B0D"/>
    <w:rsid w:val="22997463"/>
    <w:rsid w:val="24B76505"/>
    <w:rsid w:val="251812E0"/>
    <w:rsid w:val="255B3572"/>
    <w:rsid w:val="2595315D"/>
    <w:rsid w:val="25A00E3D"/>
    <w:rsid w:val="25B4132E"/>
    <w:rsid w:val="273B1052"/>
    <w:rsid w:val="27EB63B2"/>
    <w:rsid w:val="28515946"/>
    <w:rsid w:val="285223EF"/>
    <w:rsid w:val="29716CA4"/>
    <w:rsid w:val="29F359E5"/>
    <w:rsid w:val="2A3A56DF"/>
    <w:rsid w:val="2AA23CFE"/>
    <w:rsid w:val="2B896CA7"/>
    <w:rsid w:val="2B9A51DE"/>
    <w:rsid w:val="2BB50D0D"/>
    <w:rsid w:val="2C4F615D"/>
    <w:rsid w:val="2D1F04C2"/>
    <w:rsid w:val="2D5423A5"/>
    <w:rsid w:val="2D633DAD"/>
    <w:rsid w:val="2DE550F5"/>
    <w:rsid w:val="2E6B5C07"/>
    <w:rsid w:val="2EC94505"/>
    <w:rsid w:val="2FC624CF"/>
    <w:rsid w:val="30974A18"/>
    <w:rsid w:val="31427796"/>
    <w:rsid w:val="3147292B"/>
    <w:rsid w:val="318F0BD2"/>
    <w:rsid w:val="31F421E0"/>
    <w:rsid w:val="32F72511"/>
    <w:rsid w:val="33DC3FDB"/>
    <w:rsid w:val="34BB7422"/>
    <w:rsid w:val="34BD6E42"/>
    <w:rsid w:val="34CC177B"/>
    <w:rsid w:val="360E03C8"/>
    <w:rsid w:val="3636660F"/>
    <w:rsid w:val="36C06282"/>
    <w:rsid w:val="373A0C1E"/>
    <w:rsid w:val="37513472"/>
    <w:rsid w:val="3794320E"/>
    <w:rsid w:val="37BB378A"/>
    <w:rsid w:val="37D10F10"/>
    <w:rsid w:val="380B24F4"/>
    <w:rsid w:val="387A6976"/>
    <w:rsid w:val="38B22A36"/>
    <w:rsid w:val="38C352E3"/>
    <w:rsid w:val="38DC3D18"/>
    <w:rsid w:val="38ED52FE"/>
    <w:rsid w:val="39683D7E"/>
    <w:rsid w:val="397C3770"/>
    <w:rsid w:val="3A537DC3"/>
    <w:rsid w:val="3B271635"/>
    <w:rsid w:val="3B555497"/>
    <w:rsid w:val="3B5E55AC"/>
    <w:rsid w:val="3C267E72"/>
    <w:rsid w:val="3D22018A"/>
    <w:rsid w:val="3D74273F"/>
    <w:rsid w:val="3D797E4C"/>
    <w:rsid w:val="3E742C68"/>
    <w:rsid w:val="3E7F6DD2"/>
    <w:rsid w:val="3FFC604E"/>
    <w:rsid w:val="40326890"/>
    <w:rsid w:val="40D456CD"/>
    <w:rsid w:val="418941BE"/>
    <w:rsid w:val="41D57EC1"/>
    <w:rsid w:val="41EB0134"/>
    <w:rsid w:val="42A7440F"/>
    <w:rsid w:val="43F6137B"/>
    <w:rsid w:val="44B36E2B"/>
    <w:rsid w:val="450E34C8"/>
    <w:rsid w:val="45277D1E"/>
    <w:rsid w:val="459860E8"/>
    <w:rsid w:val="46767A5C"/>
    <w:rsid w:val="48A735E5"/>
    <w:rsid w:val="48D31904"/>
    <w:rsid w:val="48F75C9D"/>
    <w:rsid w:val="49347D6A"/>
    <w:rsid w:val="49887D7D"/>
    <w:rsid w:val="49B60EBC"/>
    <w:rsid w:val="49C44482"/>
    <w:rsid w:val="49E13789"/>
    <w:rsid w:val="4AEA5FEB"/>
    <w:rsid w:val="4B983298"/>
    <w:rsid w:val="4BCD39B7"/>
    <w:rsid w:val="4C014490"/>
    <w:rsid w:val="4C0C54E3"/>
    <w:rsid w:val="4C456C60"/>
    <w:rsid w:val="4C6938F9"/>
    <w:rsid w:val="4CAC0DF4"/>
    <w:rsid w:val="4DCD4A82"/>
    <w:rsid w:val="4E3B0988"/>
    <w:rsid w:val="4EFD4D82"/>
    <w:rsid w:val="4F1241F9"/>
    <w:rsid w:val="4F1624D8"/>
    <w:rsid w:val="4F85070E"/>
    <w:rsid w:val="4FD812F0"/>
    <w:rsid w:val="50EB7BDE"/>
    <w:rsid w:val="517B293B"/>
    <w:rsid w:val="519E279A"/>
    <w:rsid w:val="52697623"/>
    <w:rsid w:val="528B2997"/>
    <w:rsid w:val="52A87922"/>
    <w:rsid w:val="52B24EFD"/>
    <w:rsid w:val="52E609DD"/>
    <w:rsid w:val="53213917"/>
    <w:rsid w:val="542B1C2A"/>
    <w:rsid w:val="54483C17"/>
    <w:rsid w:val="55091A33"/>
    <w:rsid w:val="55891907"/>
    <w:rsid w:val="56216B53"/>
    <w:rsid w:val="565940C6"/>
    <w:rsid w:val="56D5347E"/>
    <w:rsid w:val="579A1556"/>
    <w:rsid w:val="584E3AD7"/>
    <w:rsid w:val="58F55633"/>
    <w:rsid w:val="59BA7EE9"/>
    <w:rsid w:val="5B39568F"/>
    <w:rsid w:val="5BA752A8"/>
    <w:rsid w:val="5BB701E0"/>
    <w:rsid w:val="5BE865EB"/>
    <w:rsid w:val="5BEE02F5"/>
    <w:rsid w:val="5C031DC6"/>
    <w:rsid w:val="5C410729"/>
    <w:rsid w:val="5C4255C9"/>
    <w:rsid w:val="5C9D0193"/>
    <w:rsid w:val="5EDD5614"/>
    <w:rsid w:val="5F2366E0"/>
    <w:rsid w:val="5F4E1C18"/>
    <w:rsid w:val="5FC7309C"/>
    <w:rsid w:val="5FFC514C"/>
    <w:rsid w:val="60A071D2"/>
    <w:rsid w:val="60B66CB8"/>
    <w:rsid w:val="60EA7638"/>
    <w:rsid w:val="62CC7D62"/>
    <w:rsid w:val="62DA4EB7"/>
    <w:rsid w:val="63600650"/>
    <w:rsid w:val="63EE30B4"/>
    <w:rsid w:val="64902015"/>
    <w:rsid w:val="652048F8"/>
    <w:rsid w:val="656A5605"/>
    <w:rsid w:val="65922175"/>
    <w:rsid w:val="65F77F75"/>
    <w:rsid w:val="661A0849"/>
    <w:rsid w:val="668D42AF"/>
    <w:rsid w:val="66D06B5A"/>
    <w:rsid w:val="67DE4E00"/>
    <w:rsid w:val="67E91AFB"/>
    <w:rsid w:val="683C5CF5"/>
    <w:rsid w:val="68D20407"/>
    <w:rsid w:val="69175ACA"/>
    <w:rsid w:val="694B2B30"/>
    <w:rsid w:val="6A1B7B8C"/>
    <w:rsid w:val="6A220495"/>
    <w:rsid w:val="6AA858C3"/>
    <w:rsid w:val="6B147C26"/>
    <w:rsid w:val="6C2C6080"/>
    <w:rsid w:val="6D9263B7"/>
    <w:rsid w:val="6E8E42DB"/>
    <w:rsid w:val="6EBB6C64"/>
    <w:rsid w:val="6F2B1048"/>
    <w:rsid w:val="6F516715"/>
    <w:rsid w:val="6F6C09D0"/>
    <w:rsid w:val="6FAB07C2"/>
    <w:rsid w:val="6FEB4989"/>
    <w:rsid w:val="6FF25885"/>
    <w:rsid w:val="70451B0E"/>
    <w:rsid w:val="711F36BF"/>
    <w:rsid w:val="71A11606"/>
    <w:rsid w:val="71C24C27"/>
    <w:rsid w:val="72323CC5"/>
    <w:rsid w:val="728C4C43"/>
    <w:rsid w:val="7372081D"/>
    <w:rsid w:val="73AC7AA8"/>
    <w:rsid w:val="73D84A0E"/>
    <w:rsid w:val="73E21E46"/>
    <w:rsid w:val="74387230"/>
    <w:rsid w:val="74B31AD8"/>
    <w:rsid w:val="74E21F0E"/>
    <w:rsid w:val="75383CE8"/>
    <w:rsid w:val="75EF49AB"/>
    <w:rsid w:val="762C2244"/>
    <w:rsid w:val="776A09E6"/>
    <w:rsid w:val="784C5A92"/>
    <w:rsid w:val="79033F81"/>
    <w:rsid w:val="792378B6"/>
    <w:rsid w:val="79530709"/>
    <w:rsid w:val="795D0CED"/>
    <w:rsid w:val="79870D9A"/>
    <w:rsid w:val="7AC87284"/>
    <w:rsid w:val="7BBC2F7D"/>
    <w:rsid w:val="7C1F350C"/>
    <w:rsid w:val="7D6E7C5C"/>
    <w:rsid w:val="7DCC1471"/>
    <w:rsid w:val="7E2748F9"/>
    <w:rsid w:val="7F3B6197"/>
    <w:rsid w:val="7F6C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0"/>
    <w:pPr>
      <w:keepNext/>
      <w:tabs>
        <w:tab w:val="left" w:pos="432"/>
      </w:tabs>
      <w:ind w:left="432" w:hanging="432"/>
      <w:jc w:val="center"/>
      <w:outlineLvl w:val="0"/>
    </w:pPr>
    <w:rPr>
      <w:rFonts w:ascii="黑体" w:hAnsi="Times New Roman" w:eastAsia="黑体" w:cs="Times New Roman"/>
      <w:sz w:val="52"/>
      <w:lang w:val="en-US" w:eastAsia="zh-CN" w:bidi="ar-SA"/>
    </w:rPr>
  </w:style>
  <w:style w:type="paragraph" w:styleId="6">
    <w:name w:val="heading 2"/>
    <w:next w:val="1"/>
    <w:link w:val="47"/>
    <w:qFormat/>
    <w:uiPriority w:val="0"/>
    <w:pPr>
      <w:keepNext/>
      <w:keepLines/>
      <w:widowControl w:val="0"/>
      <w:spacing w:before="260" w:after="260" w:line="416" w:lineRule="auto"/>
      <w:jc w:val="both"/>
      <w:outlineLvl w:val="1"/>
    </w:pPr>
    <w:rPr>
      <w:rFonts w:ascii="Arial" w:hAnsi="Arial" w:eastAsia="黑体" w:cs="Times New Roman"/>
      <w:b/>
      <w:bCs/>
      <w:sz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adjustRightInd w:val="0"/>
      <w:spacing w:after="60" w:line="360" w:lineRule="atLeast"/>
      <w:ind w:left="72" w:leftChars="30" w:right="30" w:rightChars="30" w:firstLine="420" w:firstLineChars="100"/>
      <w:jc w:val="center"/>
      <w:textAlignment w:val="baseline"/>
    </w:pPr>
    <w:rPr>
      <w:rFonts w:ascii="Times New Roman" w:hAnsi="Times New Roman" w:eastAsia="宋体" w:cs="Times New Roman"/>
      <w:sz w:val="24"/>
      <w:lang w:val="en-US" w:eastAsia="zh-CN" w:bidi="ar-SA"/>
    </w:rPr>
  </w:style>
  <w:style w:type="paragraph" w:styleId="3">
    <w:name w:val="Body Text"/>
    <w:basedOn w:val="1"/>
    <w:next w:val="4"/>
    <w:semiHidden/>
    <w:qFormat/>
    <w:uiPriority w:val="0"/>
  </w:style>
  <w:style w:type="paragraph" w:customStyle="1" w:styleId="4">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7">
    <w:name w:val="Normal Indent"/>
    <w:qFormat/>
    <w:uiPriority w:val="0"/>
    <w:pPr>
      <w:widowControl w:val="0"/>
      <w:ind w:firstLine="420" w:firstLineChars="200"/>
      <w:jc w:val="both"/>
    </w:pPr>
    <w:rPr>
      <w:rFonts w:ascii="宋体" w:hAnsi="Times New Roman" w:eastAsia="宋体" w:cs="Times New Roman"/>
      <w:sz w:val="24"/>
      <w:lang w:val="en-US" w:eastAsia="zh-CN" w:bidi="ar-SA"/>
    </w:rPr>
  </w:style>
  <w:style w:type="paragraph" w:styleId="8">
    <w:name w:val="annotation text"/>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styleId="9">
    <w:name w:val="Body Text Indent"/>
    <w:qFormat/>
    <w:uiPriority w:val="0"/>
    <w:pPr>
      <w:widowControl w:val="0"/>
      <w:spacing w:after="120"/>
      <w:ind w:left="420" w:leftChars="200"/>
      <w:jc w:val="both"/>
    </w:pPr>
    <w:rPr>
      <w:rFonts w:ascii="宋体" w:hAnsi="Times New Roman" w:eastAsia="宋体" w:cs="Times New Roman"/>
      <w:sz w:val="24"/>
      <w:lang w:val="en-US" w:eastAsia="zh-CN" w:bidi="ar-SA"/>
    </w:rPr>
  </w:style>
  <w:style w:type="paragraph" w:styleId="10">
    <w:name w:val="List 2"/>
    <w:qFormat/>
    <w:uiPriority w:val="0"/>
    <w:pPr>
      <w:widowControl w:val="0"/>
      <w:ind w:left="100" w:leftChars="200" w:hanging="200" w:hangingChars="200"/>
      <w:jc w:val="both"/>
    </w:pPr>
    <w:rPr>
      <w:rFonts w:ascii="宋体" w:hAnsi="Times New Roman" w:eastAsia="宋体" w:cs="Times New Roman"/>
      <w:sz w:val="24"/>
      <w:lang w:val="en-US" w:eastAsia="zh-CN" w:bidi="ar-SA"/>
    </w:rPr>
  </w:style>
  <w:style w:type="paragraph" w:styleId="11">
    <w:name w:val="Plain Text"/>
    <w:qFormat/>
    <w:uiPriority w:val="0"/>
    <w:pPr>
      <w:widowControl w:val="0"/>
      <w:jc w:val="both"/>
    </w:pPr>
    <w:rPr>
      <w:rFonts w:ascii="宋体" w:hAnsi="Courier New" w:eastAsia="宋体" w:cs="Times New Roman"/>
      <w:sz w:val="24"/>
      <w:szCs w:val="21"/>
      <w:lang w:val="en-US" w:eastAsia="zh-CN" w:bidi="ar-SA"/>
    </w:rPr>
  </w:style>
  <w:style w:type="paragraph" w:styleId="12">
    <w:name w:val="Date"/>
    <w:next w:val="1"/>
    <w:qFormat/>
    <w:uiPriority w:val="0"/>
    <w:pPr>
      <w:widowControl w:val="0"/>
      <w:jc w:val="both"/>
    </w:pPr>
    <w:rPr>
      <w:rFonts w:ascii="宋体" w:hAnsi="Times New Roman" w:eastAsia="宋体" w:cs="Times New Roman"/>
      <w:sz w:val="24"/>
      <w:lang w:val="en-US" w:eastAsia="zh-CN" w:bidi="ar-SA"/>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4"/>
    <w:next w:val="1"/>
    <w:qFormat/>
    <w:uiPriority w:val="0"/>
    <w:pPr>
      <w:widowControl w:val="0"/>
      <w:adjustRightInd w:val="0"/>
      <w:snapToGrid w:val="0"/>
      <w:spacing w:beforeLines="20" w:afterLines="20"/>
      <w:ind w:left="630"/>
    </w:pPr>
    <w:rPr>
      <w:rFonts w:ascii="宋体" w:hAnsi="Times New Roman" w:eastAsia="宋体" w:cs="Times New Roman"/>
      <w:sz w:val="24"/>
      <w:lang w:val="en-US" w:eastAsia="zh-CN" w:bidi="ar-SA"/>
    </w:rPr>
  </w:style>
  <w:style w:type="paragraph" w:styleId="16">
    <w:name w:val="List"/>
    <w:qFormat/>
    <w:uiPriority w:val="0"/>
    <w:pPr>
      <w:widowControl w:val="0"/>
      <w:ind w:left="200" w:hanging="200" w:hangingChars="200"/>
      <w:jc w:val="both"/>
    </w:pPr>
    <w:rPr>
      <w:rFonts w:ascii="宋体" w:hAnsi="Times New Roman" w:eastAsia="宋体" w:cs="Times New Roman"/>
      <w:sz w:val="24"/>
      <w:lang w:val="en-US" w:eastAsia="zh-CN" w:bidi="ar-SA"/>
    </w:rPr>
  </w:style>
  <w:style w:type="paragraph" w:styleId="17">
    <w:name w:val="toc 2"/>
    <w:next w:val="1"/>
    <w:qFormat/>
    <w:uiPriority w:val="0"/>
    <w:pPr>
      <w:widowControl w:val="0"/>
      <w:tabs>
        <w:tab w:val="right" w:leader="dot" w:pos="9345"/>
      </w:tabs>
      <w:spacing w:line="360" w:lineRule="auto"/>
      <w:ind w:left="210"/>
    </w:pPr>
    <w:rPr>
      <w:rFonts w:ascii="宋体" w:hAnsi="Times New Roman" w:eastAsia="宋体" w:cs="Times New Roman"/>
      <w:smallCaps/>
      <w:sz w:val="28"/>
      <w:szCs w:val="28"/>
      <w:lang w:val="en-US" w:eastAsia="zh-CN" w:bidi="ar-SA"/>
    </w:rPr>
  </w:style>
  <w:style w:type="paragraph" w:styleId="18">
    <w:name w:val="Normal (Web)"/>
    <w:qFormat/>
    <w:uiPriority w:val="0"/>
    <w:pPr>
      <w:spacing w:before="100" w:beforeAutospacing="1" w:after="100" w:afterAutospacing="1"/>
    </w:pPr>
    <w:rPr>
      <w:rFonts w:ascii="宋体" w:hAnsi="宋体" w:eastAsia="宋体" w:cs="Times New Roman"/>
      <w:sz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4"/>
      <w:szCs w:val="24"/>
    </w:rPr>
  </w:style>
  <w:style w:type="character" w:customStyle="1" w:styleId="36">
    <w:name w:val="hover4"/>
    <w:basedOn w:val="21"/>
    <w:qFormat/>
    <w:uiPriority w:val="0"/>
    <w:rPr>
      <w:u w:val="single"/>
    </w:rPr>
  </w:style>
  <w:style w:type="character" w:customStyle="1" w:styleId="37">
    <w:name w:val="layui-this"/>
    <w:basedOn w:val="21"/>
    <w:qFormat/>
    <w:uiPriority w:val="0"/>
    <w:rPr>
      <w:bdr w:val="single" w:color="EEEEEE" w:sz="6" w:space="0"/>
      <w:shd w:val="clear" w:color="auto" w:fill="FFFFFF"/>
    </w:rPr>
  </w:style>
  <w:style w:type="character" w:customStyle="1" w:styleId="38">
    <w:name w:val="first-child2"/>
    <w:basedOn w:val="21"/>
    <w:qFormat/>
    <w:uiPriority w:val="0"/>
  </w:style>
  <w:style w:type="character" w:customStyle="1" w:styleId="39">
    <w:name w:val="hover5"/>
    <w:basedOn w:val="21"/>
    <w:qFormat/>
    <w:uiPriority w:val="0"/>
    <w:rPr>
      <w:u w:val="single"/>
    </w:rPr>
  </w:style>
  <w:style w:type="character" w:customStyle="1" w:styleId="40">
    <w:name w:val="first-child"/>
    <w:basedOn w:val="21"/>
    <w:qFormat/>
    <w:uiPriority w:val="0"/>
  </w:style>
  <w:style w:type="character" w:customStyle="1" w:styleId="41">
    <w:name w:val="hover"/>
    <w:basedOn w:val="21"/>
    <w:qFormat/>
    <w:uiPriority w:val="0"/>
    <w:rPr>
      <w:u w:val="single"/>
    </w:rPr>
  </w:style>
  <w:style w:type="paragraph" w:customStyle="1" w:styleId="42">
    <w:name w:val="普通 (Web)"/>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43">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styleId="44">
    <w:name w:val="List Paragraph"/>
    <w:qFormat/>
    <w:uiPriority w:val="34"/>
    <w:pPr>
      <w:widowControl w:val="0"/>
      <w:ind w:firstLine="420" w:firstLineChars="200"/>
      <w:jc w:val="both"/>
    </w:pPr>
    <w:rPr>
      <w:rFonts w:ascii="Calibri" w:hAnsi="Calibri" w:eastAsia="宋体" w:cs="Times New Roman"/>
      <w:sz w:val="21"/>
      <w:szCs w:val="22"/>
      <w:lang w:val="en-US" w:eastAsia="zh-CN" w:bidi="ar-SA"/>
    </w:rPr>
  </w:style>
  <w:style w:type="paragraph" w:customStyle="1" w:styleId="45">
    <w:name w:val="p0"/>
    <w:qFormat/>
    <w:uiPriority w:val="0"/>
    <w:pPr>
      <w:jc w:val="both"/>
    </w:pPr>
    <w:rPr>
      <w:rFonts w:ascii="宋体" w:hAnsi="Times New Roman" w:eastAsia="宋体" w:cs="宋体"/>
      <w:sz w:val="24"/>
      <w:szCs w:val="21"/>
      <w:lang w:val="en-US" w:eastAsia="zh-CN" w:bidi="ar-SA"/>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47">
    <w:name w:val="标题 2 字符"/>
    <w:link w:val="6"/>
    <w:qFormat/>
    <w:uiPriority w:val="0"/>
    <w:rPr>
      <w:rFonts w:ascii="Arial" w:hAnsi="Arial" w:eastAsia="黑体" w:cs="Times New Roman"/>
      <w:b/>
      <w:bCs/>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10902</Words>
  <Characters>11358</Characters>
  <Lines>2666</Lines>
  <Paragraphs>2261</Paragraphs>
  <TotalTime>39</TotalTime>
  <ScaleCrop>false</ScaleCrop>
  <LinksUpToDate>false</LinksUpToDate>
  <CharactersWithSpaces>11379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2026-04-28T02:42:00Z</dcterms:created>
  <dc:creator>NTKO</dc:creator>
  <cp:lastModifiedBy>Administrator</cp:lastModifiedBy>
  <cp:lastPrinted>2026-05-27T02:09:00Z</cp:lastPrinted>
  <dcterms:modified xsi:type="dcterms:W3CDTF">2026-06-04T02:16:14Z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2026-02-05T11:06:40Z</vt:filetime>
  </property>
  <property fmtid="{D5CDD505-2E9C-101B-9397-08002B2CF9AE}" pid="4" name="KSOTemplateDocerSaveRecord">
    <vt:lpwstr>eyJoZGlkIjoiODBjOGQ0Y2Q0MTNlNTFkNDMwYzQ1ZjljYTQxODQ3NzIiLCJ1c2VySWQiOiIzNDgyNjE2MzkifQ==</vt:lpwstr>
  </property>
  <property fmtid="{D5CDD505-2E9C-101B-9397-08002B2CF9AE}" pid="5" name="KSOProductBuildVer">
    <vt:lpwstr>2052-12.1.0.26375</vt:lpwstr>
  </property>
  <property fmtid="{D5CDD505-2E9C-101B-9397-08002B2CF9AE}" pid="6" name="ICV">
    <vt:lpwstr>5C93E27EDB214985B74B98DB14A36B1E_13</vt:lpwstr>
  </property>
</Properties>
</file>