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205E8">
      <w:pPr>
        <w:pStyle w:val="3"/>
        <w:pageBreakBefore w:val="0"/>
        <w:widowControl w:val="0"/>
        <w:kinsoku/>
        <w:wordWrap/>
        <w:overflowPunct/>
        <w:topLinePunct w:val="0"/>
        <w:autoSpaceDE/>
        <w:autoSpaceDN/>
        <w:bidi w:val="0"/>
        <w:adjustRightInd w:val="0"/>
        <w:snapToGrid/>
        <w:spacing w:before="0" w:after="0" w:line="360" w:lineRule="auto"/>
        <w:jc w:val="both"/>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项目名称</w:t>
      </w:r>
      <w:r>
        <w:rPr>
          <w:rFonts w:hint="eastAsia" w:ascii="仿宋" w:hAnsi="仿宋" w:eastAsia="仿宋" w:cs="仿宋"/>
          <w:b w:val="0"/>
          <w:bCs w:val="0"/>
          <w:color w:val="auto"/>
          <w:kern w:val="2"/>
          <w:sz w:val="28"/>
          <w:szCs w:val="28"/>
          <w:highlight w:val="none"/>
          <w:lang w:val="en-US" w:eastAsia="zh-CN" w:bidi="ar-SA"/>
        </w:rPr>
        <w:t>：安徽国防科技职业学</w:t>
      </w:r>
      <w:bookmarkStart w:id="1" w:name="_GoBack"/>
      <w:bookmarkEnd w:id="1"/>
      <w:r>
        <w:rPr>
          <w:rFonts w:hint="eastAsia" w:ascii="仿宋" w:hAnsi="仿宋" w:eastAsia="仿宋" w:cs="仿宋"/>
          <w:b w:val="0"/>
          <w:bCs w:val="0"/>
          <w:color w:val="auto"/>
          <w:kern w:val="2"/>
          <w:sz w:val="28"/>
          <w:szCs w:val="28"/>
          <w:highlight w:val="none"/>
          <w:lang w:val="en-US" w:eastAsia="zh-CN" w:bidi="ar-SA"/>
        </w:rPr>
        <w:t>院新校区食堂大型餐饮设备购置安装及明厨亮灶建设采购项目</w:t>
      </w:r>
    </w:p>
    <w:p w14:paraId="4538AF69">
      <w:pPr>
        <w:pageBreakBefore w:val="0"/>
        <w:widowControl w:val="0"/>
        <w:kinsoku/>
        <w:wordWrap/>
        <w:overflowPunct/>
        <w:topLinePunct w:val="0"/>
        <w:autoSpaceDE/>
        <w:autoSpaceDN/>
        <w:bidi w:val="0"/>
        <w:snapToGrid/>
        <w:spacing w:line="360" w:lineRule="auto"/>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采购单位</w:t>
      </w:r>
      <w:r>
        <w:rPr>
          <w:rFonts w:hint="eastAsia" w:ascii="仿宋" w:hAnsi="仿宋" w:eastAsia="仿宋" w:cs="仿宋"/>
          <w:b w:val="0"/>
          <w:bCs w:val="0"/>
          <w:color w:val="auto"/>
          <w:kern w:val="2"/>
          <w:sz w:val="28"/>
          <w:szCs w:val="28"/>
          <w:highlight w:val="none"/>
          <w:lang w:val="en-US" w:eastAsia="zh-CN" w:bidi="ar-SA"/>
        </w:rPr>
        <w:t>：安徽国防科技职业学院</w:t>
      </w:r>
    </w:p>
    <w:p w14:paraId="00598495">
      <w:pPr>
        <w:pageBreakBefore w:val="0"/>
        <w:widowControl w:val="0"/>
        <w:kinsoku/>
        <w:wordWrap/>
        <w:overflowPunct/>
        <w:topLinePunct w:val="0"/>
        <w:autoSpaceDE/>
        <w:autoSpaceDN/>
        <w:bidi w:val="0"/>
        <w:snapToGrid/>
        <w:spacing w:line="360" w:lineRule="auto"/>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公示时间</w:t>
      </w:r>
      <w:r>
        <w:rPr>
          <w:rFonts w:hint="eastAsia" w:ascii="仿宋" w:hAnsi="仿宋" w:eastAsia="仿宋" w:cs="仿宋"/>
          <w:b w:val="0"/>
          <w:bCs w:val="0"/>
          <w:color w:val="auto"/>
          <w:kern w:val="2"/>
          <w:sz w:val="28"/>
          <w:szCs w:val="28"/>
          <w:highlight w:val="none"/>
          <w:lang w:val="en-US" w:eastAsia="zh-CN" w:bidi="ar-SA"/>
        </w:rPr>
        <w:t>：2026年 8月 14日</w:t>
      </w:r>
    </w:p>
    <w:p w14:paraId="2C8BEB62">
      <w:pPr>
        <w:pageBreakBefore w:val="0"/>
        <w:widowControl w:val="0"/>
        <w:kinsoku/>
        <w:wordWrap/>
        <w:overflowPunct/>
        <w:topLinePunct w:val="0"/>
        <w:autoSpaceDE/>
        <w:autoSpaceDN/>
        <w:bidi w:val="0"/>
        <w:snapToGrid/>
        <w:spacing w:line="360" w:lineRule="auto"/>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项目预算</w:t>
      </w:r>
      <w:r>
        <w:rPr>
          <w:rFonts w:hint="eastAsia" w:ascii="仿宋" w:hAnsi="仿宋" w:eastAsia="仿宋" w:cs="仿宋"/>
          <w:b w:val="0"/>
          <w:bCs w:val="0"/>
          <w:color w:val="auto"/>
          <w:kern w:val="2"/>
          <w:sz w:val="28"/>
          <w:szCs w:val="28"/>
          <w:highlight w:val="none"/>
          <w:lang w:val="en-US" w:eastAsia="zh-CN" w:bidi="ar-SA"/>
        </w:rPr>
        <w:t>：第一包 ：预算金额285万元，最高限价285万元；第二包：预算金额35万元，最高限价35万元</w:t>
      </w:r>
    </w:p>
    <w:p w14:paraId="11EB0D19">
      <w:pPr>
        <w:pageBreakBefore w:val="0"/>
        <w:widowControl w:val="0"/>
        <w:kinsoku/>
        <w:wordWrap/>
        <w:overflowPunct/>
        <w:topLinePunct w:val="0"/>
        <w:autoSpaceDE/>
        <w:autoSpaceDN/>
        <w:bidi w:val="0"/>
        <w:snapToGrid/>
        <w:spacing w:line="360" w:lineRule="auto"/>
        <w:textAlignment w:val="auto"/>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需求概述</w:t>
      </w:r>
      <w:r>
        <w:rPr>
          <w:rFonts w:hint="eastAsia" w:ascii="仿宋" w:hAnsi="仿宋" w:eastAsia="仿宋" w:cs="仿宋"/>
          <w:b w:val="0"/>
          <w:bCs w:val="0"/>
          <w:color w:val="auto"/>
          <w:kern w:val="2"/>
          <w:sz w:val="28"/>
          <w:szCs w:val="28"/>
          <w:highlight w:val="none"/>
          <w:lang w:val="en-US" w:eastAsia="zh-CN" w:bidi="ar-SA"/>
        </w:rPr>
        <w:t>：第一包：新校区食堂大型餐饮设备购置及安装采购项目。第二包：新校区食堂明厨亮灶建设项目。具体内容详见采购文件。</w:t>
      </w:r>
    </w:p>
    <w:p w14:paraId="466F53CC">
      <w:pPr>
        <w:pageBreakBefore w:val="0"/>
        <w:widowControl w:val="0"/>
        <w:kinsoku/>
        <w:wordWrap/>
        <w:overflowPunct/>
        <w:topLinePunct w:val="0"/>
        <w:autoSpaceDE/>
        <w:autoSpaceDN/>
        <w:bidi w:val="0"/>
        <w:snapToGrid/>
        <w:spacing w:line="360" w:lineRule="auto"/>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是否专门面向中小企业采购：</w:t>
      </w:r>
      <w:r>
        <w:rPr>
          <w:rFonts w:hint="eastAsia" w:ascii="仿宋" w:hAnsi="仿宋" w:eastAsia="仿宋" w:cs="仿宋"/>
          <w:b w:val="0"/>
          <w:bCs w:val="0"/>
          <w:color w:val="auto"/>
          <w:kern w:val="2"/>
          <w:sz w:val="28"/>
          <w:szCs w:val="28"/>
          <w:highlight w:val="none"/>
          <w:lang w:val="en-US" w:eastAsia="zh-CN" w:bidi="ar-SA"/>
        </w:rPr>
        <w:t>（1）第一包专门面向中小企业采购。（2）第二包：非专门面向中小企业采购。原因：按照本办法规定预留采购份额无法确保充分供应、充分竞争，或者存在可能影响政府采购目标实现的情形。</w:t>
      </w:r>
    </w:p>
    <w:p w14:paraId="5132D402">
      <w:pPr>
        <w:pageBreakBefore w:val="0"/>
        <w:widowControl w:val="0"/>
        <w:kinsoku/>
        <w:wordWrap/>
        <w:overflowPunct/>
        <w:topLinePunct w:val="0"/>
        <w:autoSpaceDE/>
        <w:autoSpaceDN/>
        <w:bidi w:val="0"/>
        <w:snapToGrid/>
        <w:spacing w:line="360" w:lineRule="auto"/>
        <w:jc w:val="left"/>
        <w:textAlignment w:val="auto"/>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本项目的特定资格要求：</w:t>
      </w:r>
      <w:r>
        <w:rPr>
          <w:rFonts w:hint="eastAsia" w:ascii="仿宋" w:hAnsi="仿宋" w:eastAsia="仿宋" w:cs="仿宋"/>
          <w:b w:val="0"/>
          <w:bCs w:val="0"/>
          <w:color w:val="auto"/>
          <w:kern w:val="2"/>
          <w:sz w:val="28"/>
          <w:szCs w:val="28"/>
          <w:highlight w:val="none"/>
          <w:lang w:val="en-US" w:eastAsia="zh-CN" w:bidi="ar-SA"/>
        </w:rPr>
        <w:t>第一包：投标人具有有效期内的下列资质之一 ：（1）燃气燃烧器具安装维修企业资质；（2）燃气燃烧器具安装维修许可证；（3）燃气经营许可证（经营类别包含燃气器具安装、维修）。</w:t>
      </w:r>
    </w:p>
    <w:p w14:paraId="7CED738A">
      <w:pPr>
        <w:pStyle w:val="2"/>
        <w:rPr>
          <w:rFonts w:hint="eastAsia" w:ascii="仿宋" w:hAnsi="仿宋" w:eastAsia="仿宋" w:cs="仿宋"/>
          <w:b w:val="0"/>
          <w:bCs w:val="0"/>
          <w:color w:val="auto"/>
          <w:kern w:val="2"/>
          <w:sz w:val="28"/>
          <w:szCs w:val="28"/>
          <w:highlight w:val="none"/>
          <w:lang w:val="en-US" w:eastAsia="zh-CN" w:bidi="ar-SA"/>
        </w:rPr>
        <w:sectPr>
          <w:footerReference r:id="rId3" w:type="default"/>
          <w:pgSz w:w="11906" w:h="16838"/>
          <w:pgMar w:top="2098" w:right="1474" w:bottom="1984" w:left="1587" w:header="851" w:footer="992" w:gutter="0"/>
          <w:cols w:space="425" w:num="1"/>
          <w:docGrid w:type="lines" w:linePitch="312" w:charSpace="0"/>
        </w:sectPr>
      </w:pPr>
    </w:p>
    <w:p w14:paraId="7A2C10AC">
      <w:pPr>
        <w:pStyle w:val="3"/>
        <w:numPr>
          <w:ilvl w:val="0"/>
          <w:numId w:val="0"/>
        </w:numPr>
        <w:adjustRightInd w:val="0"/>
        <w:spacing w:before="120" w:beforeLines="50" w:after="120" w:afterLines="50"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采购需求</w:t>
      </w:r>
      <w:bookmarkStart w:id="0" w:name="_Hlt509716920"/>
      <w:bookmarkEnd w:id="0"/>
    </w:p>
    <w:p w14:paraId="3A5F4302">
      <w:pPr>
        <w:pStyle w:val="7"/>
        <w:keepNext w:val="0"/>
        <w:keepLines w:val="0"/>
        <w:pageBreakBefore w:val="0"/>
        <w:widowControl w:val="0"/>
        <w:kinsoku/>
        <w:wordWrap/>
        <w:overflowPunct/>
        <w:topLinePunct w:val="0"/>
        <w:autoSpaceDE/>
        <w:autoSpaceDN/>
        <w:bidi w:val="0"/>
        <w:adjustRightInd/>
        <w:snapToGrid/>
        <w:spacing w:line="560" w:lineRule="exact"/>
        <w:textAlignment w:val="auto"/>
        <w:rPr>
          <w:sz w:val="24"/>
          <w:szCs w:val="24"/>
          <w:lang w:eastAsia="zh-CN"/>
        </w:rPr>
      </w:pPr>
      <w:r>
        <w:rPr>
          <w:b/>
          <w:bCs/>
          <w:spacing w:val="-7"/>
          <w:sz w:val="24"/>
          <w:szCs w:val="24"/>
          <w:lang w:eastAsia="zh-CN"/>
        </w:rPr>
        <w:t>前注：</w:t>
      </w:r>
    </w:p>
    <w:p w14:paraId="6AE29D24">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DA4AAD0">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2.下列采购需求中：</w:t>
      </w:r>
    </w:p>
    <w:p w14:paraId="37F529A5">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92FEAAF">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both"/>
        <w:textAlignment w:val="auto"/>
        <w:rPr>
          <w:rFonts w:ascii="宋体" w:hAnsi="宋体" w:eastAsia="宋体" w:cs="宋体"/>
          <w:sz w:val="24"/>
        </w:rPr>
      </w:pPr>
      <w:r>
        <w:rPr>
          <w:rFonts w:hint="eastAsia" w:ascii="宋体" w:hAnsi="宋体" w:eastAsia="宋体" w:cs="宋体"/>
          <w:sz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4B2FF16">
      <w:pPr>
        <w:keepNext w:val="0"/>
        <w:keepLines w:val="0"/>
        <w:pageBreakBefore w:val="0"/>
        <w:widowControl w:val="0"/>
        <w:kinsoku/>
        <w:wordWrap/>
        <w:overflowPunct/>
        <w:topLinePunct w:val="0"/>
        <w:autoSpaceDE/>
        <w:autoSpaceDN/>
        <w:bidi w:val="0"/>
        <w:adjustRightInd/>
        <w:snapToGrid/>
        <w:spacing w:line="560" w:lineRule="exact"/>
        <w:ind w:left="0" w:firstLine="482" w:firstLineChars="200"/>
        <w:jc w:val="both"/>
        <w:textAlignment w:val="auto"/>
        <w:rPr>
          <w:rFonts w:hint="eastAsia" w:ascii="宋体" w:hAnsi="宋体" w:eastAsia="宋体" w:cs="宋体"/>
          <w:b/>
          <w:bCs/>
          <w:strike w:val="0"/>
          <w:dstrike w:val="0"/>
          <w:sz w:val="24"/>
          <w:highlight w:val="none"/>
          <w:lang w:val="en-US" w:eastAsia="zh-CN"/>
        </w:rPr>
      </w:pPr>
      <w:r>
        <w:rPr>
          <w:rFonts w:hint="eastAsia" w:ascii="宋体" w:hAnsi="宋体" w:eastAsia="宋体" w:cs="宋体"/>
          <w:b/>
          <w:bCs/>
          <w:strike w:val="0"/>
          <w:dstrike w:val="0"/>
          <w:sz w:val="24"/>
          <w:highlight w:val="none"/>
          <w:lang w:val="en-US" w:eastAsia="zh-CN"/>
        </w:rPr>
        <w:t>3、各项标识含义解释：</w:t>
      </w:r>
    </w:p>
    <w:tbl>
      <w:tblPr>
        <w:tblStyle w:val="13"/>
        <w:tblW w:w="9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4"/>
        <w:gridCol w:w="1431"/>
        <w:gridCol w:w="5632"/>
      </w:tblGrid>
      <w:tr w14:paraId="2800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4" w:type="dxa"/>
            <w:noWrap w:val="0"/>
            <w:vAlign w:val="center"/>
          </w:tcPr>
          <w:p w14:paraId="7B68AFF5">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标识类型</w:t>
            </w:r>
          </w:p>
        </w:tc>
        <w:tc>
          <w:tcPr>
            <w:tcW w:w="1431" w:type="dxa"/>
            <w:noWrap w:val="0"/>
            <w:vAlign w:val="center"/>
          </w:tcPr>
          <w:p w14:paraId="70B31B38">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标识符号</w:t>
            </w:r>
          </w:p>
        </w:tc>
        <w:tc>
          <w:tcPr>
            <w:tcW w:w="5632" w:type="dxa"/>
            <w:noWrap w:val="0"/>
            <w:vAlign w:val="center"/>
          </w:tcPr>
          <w:p w14:paraId="45C6D297">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标识符号含义</w:t>
            </w:r>
          </w:p>
        </w:tc>
      </w:tr>
      <w:tr w14:paraId="27A7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4" w:type="dxa"/>
            <w:noWrap w:val="0"/>
            <w:vAlign w:val="center"/>
          </w:tcPr>
          <w:p w14:paraId="29812E90">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核心产品</w:t>
            </w:r>
          </w:p>
        </w:tc>
        <w:tc>
          <w:tcPr>
            <w:tcW w:w="1431" w:type="dxa"/>
            <w:noWrap w:val="0"/>
            <w:vAlign w:val="center"/>
          </w:tcPr>
          <w:p w14:paraId="563E436D">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tc>
        <w:tc>
          <w:tcPr>
            <w:tcW w:w="5632" w:type="dxa"/>
            <w:noWrap w:val="0"/>
            <w:vAlign w:val="center"/>
          </w:tcPr>
          <w:p w14:paraId="1B317B0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rPr>
            </w:pPr>
            <w:r>
              <w:rPr>
                <w:rFonts w:hint="eastAsia" w:ascii="宋体" w:hAnsi="宋体" w:eastAsia="宋体" w:cs="宋体"/>
                <w:sz w:val="21"/>
                <w:szCs w:val="21"/>
              </w:rPr>
              <w:t>标的属于核心产品</w:t>
            </w:r>
          </w:p>
        </w:tc>
      </w:tr>
      <w:tr w14:paraId="78CE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4" w:type="dxa"/>
            <w:noWrap w:val="0"/>
            <w:vAlign w:val="center"/>
          </w:tcPr>
          <w:p w14:paraId="0BEA79BF">
            <w:pPr>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关键性（实质性）指标项</w:t>
            </w:r>
          </w:p>
        </w:tc>
        <w:tc>
          <w:tcPr>
            <w:tcW w:w="1431" w:type="dxa"/>
            <w:noWrap w:val="0"/>
            <w:vAlign w:val="center"/>
          </w:tcPr>
          <w:p w14:paraId="25EBD1A2">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w:t>
            </w:r>
          </w:p>
        </w:tc>
        <w:tc>
          <w:tcPr>
            <w:tcW w:w="5632" w:type="dxa"/>
            <w:noWrap w:val="0"/>
            <w:vAlign w:val="center"/>
          </w:tcPr>
          <w:p w14:paraId="3B20835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负偏离或未响应视为实质性不响应招标文件要求，将导致投标无效。</w:t>
            </w:r>
          </w:p>
        </w:tc>
      </w:tr>
      <w:tr w14:paraId="784B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74" w:type="dxa"/>
            <w:noWrap w:val="0"/>
            <w:vAlign w:val="center"/>
          </w:tcPr>
          <w:p w14:paraId="201DFC52">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重要</w:t>
            </w:r>
            <w:r>
              <w:rPr>
                <w:rFonts w:hint="eastAsia" w:asciiTheme="minorEastAsia" w:hAnsiTheme="minorEastAsia" w:eastAsiaTheme="minorEastAsia" w:cstheme="minorEastAsia"/>
                <w:b/>
                <w:bCs/>
                <w:color w:val="auto"/>
                <w:sz w:val="21"/>
                <w:szCs w:val="21"/>
                <w:highlight w:val="none"/>
              </w:rPr>
              <w:t>指标项</w:t>
            </w:r>
          </w:p>
        </w:tc>
        <w:tc>
          <w:tcPr>
            <w:tcW w:w="1431" w:type="dxa"/>
            <w:noWrap w:val="0"/>
            <w:vAlign w:val="center"/>
          </w:tcPr>
          <w:p w14:paraId="2E02137D">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rPr>
              <w:t>●</w:t>
            </w:r>
          </w:p>
        </w:tc>
        <w:tc>
          <w:tcPr>
            <w:tcW w:w="5632" w:type="dxa"/>
            <w:noWrap w:val="0"/>
            <w:vAlign w:val="center"/>
          </w:tcPr>
          <w:p w14:paraId="367AA69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评分项，详见评分细则</w:t>
            </w:r>
          </w:p>
        </w:tc>
      </w:tr>
      <w:tr w14:paraId="3166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4" w:type="dxa"/>
            <w:noWrap w:val="0"/>
            <w:vAlign w:val="center"/>
          </w:tcPr>
          <w:p w14:paraId="16E4C8B9">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无标识项</w:t>
            </w:r>
          </w:p>
        </w:tc>
        <w:tc>
          <w:tcPr>
            <w:tcW w:w="1431" w:type="dxa"/>
            <w:noWrap w:val="0"/>
            <w:vAlign w:val="center"/>
          </w:tcPr>
          <w:p w14:paraId="6441A561">
            <w:pPr>
              <w:jc w:val="center"/>
              <w:rPr>
                <w:rFonts w:hint="eastAsia" w:asciiTheme="minorEastAsia" w:hAnsiTheme="minorEastAsia" w:eastAsiaTheme="minorEastAsia" w:cstheme="minorEastAsia"/>
                <w:color w:val="auto"/>
                <w:sz w:val="21"/>
                <w:szCs w:val="21"/>
                <w:highlight w:val="none"/>
              </w:rPr>
            </w:pPr>
          </w:p>
        </w:tc>
        <w:tc>
          <w:tcPr>
            <w:tcW w:w="5632" w:type="dxa"/>
            <w:noWrap w:val="0"/>
            <w:vAlign w:val="center"/>
          </w:tcPr>
          <w:p w14:paraId="3CD78782">
            <w:pPr>
              <w:pStyle w:val="6"/>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累计达5条或以上未响应（负偏离）的，投标无效。投标时提供承诺，如履约验收期间所投产品不满足承诺的，中标人承担由此产生的一切后果及责任（承诺函格式详见投标文件格式）。投标文件中未提供相应承诺或承诺的内容不满足要求的，投标无效。</w:t>
            </w:r>
          </w:p>
          <w:p w14:paraId="06F14C66">
            <w:pPr>
              <w:pStyle w:val="6"/>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具体允许无偏离的条数可以根据实际情况设定。</w:t>
            </w:r>
          </w:p>
        </w:tc>
      </w:tr>
      <w:tr w14:paraId="1FE0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037" w:type="dxa"/>
            <w:gridSpan w:val="3"/>
            <w:noWrap w:val="0"/>
            <w:vAlign w:val="center"/>
          </w:tcPr>
          <w:p w14:paraId="2291CA30">
            <w:pPr>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注：</w:t>
            </w:r>
            <w:r>
              <w:rPr>
                <w:rFonts w:hint="eastAsia" w:asciiTheme="minorEastAsia" w:hAnsiTheme="minorEastAsia" w:eastAsiaTheme="minorEastAsia" w:cstheme="minorEastAsia"/>
                <w:color w:val="auto"/>
                <w:sz w:val="21"/>
                <w:szCs w:val="21"/>
                <w:highlight w:val="none"/>
              </w:rPr>
              <w:t>评分项对应的条款中如包含多条子项技术参数或要求，则需满足或优于条款内所有子项技术参数或要求方能得分。标注★的指标项</w:t>
            </w:r>
            <w:r>
              <w:rPr>
                <w:rFonts w:hint="eastAsia" w:asciiTheme="minorEastAsia" w:hAnsiTheme="minorEastAsia" w:eastAsiaTheme="minorEastAsia" w:cstheme="minorEastAsia"/>
                <w:color w:val="auto"/>
                <w:sz w:val="21"/>
                <w:szCs w:val="21"/>
                <w:highlight w:val="none"/>
                <w:lang w:val="en-US" w:eastAsia="zh-CN"/>
              </w:rPr>
              <w:t>和</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的指标项，</w:t>
            </w:r>
            <w:r>
              <w:rPr>
                <w:rFonts w:hint="eastAsia" w:asciiTheme="minorEastAsia" w:hAnsiTheme="minorEastAsia" w:eastAsiaTheme="minorEastAsia" w:cstheme="minorEastAsia"/>
                <w:color w:val="auto"/>
                <w:sz w:val="21"/>
                <w:szCs w:val="21"/>
                <w:highlight w:val="none"/>
                <w:lang w:val="en-US" w:eastAsia="zh-CN"/>
              </w:rPr>
              <w:t>中标公示后</w:t>
            </w:r>
            <w:r>
              <w:rPr>
                <w:rFonts w:hint="eastAsia" w:asciiTheme="minorEastAsia" w:hAnsiTheme="minorEastAsia" w:eastAsiaTheme="minorEastAsia" w:cstheme="minorEastAsia"/>
                <w:color w:val="auto"/>
                <w:sz w:val="21"/>
                <w:szCs w:val="21"/>
                <w:highlight w:val="none"/>
              </w:rPr>
              <w:t>合同签订前，中标人向采购人提供相关证书</w:t>
            </w:r>
            <w:r>
              <w:rPr>
                <w:rFonts w:hint="eastAsia" w:asciiTheme="minorEastAsia" w:hAnsiTheme="minorEastAsia" w:eastAsiaTheme="minorEastAsia" w:cstheme="minorEastAsia"/>
                <w:color w:val="auto"/>
                <w:sz w:val="21"/>
                <w:szCs w:val="21"/>
                <w:highlight w:val="none"/>
                <w:lang w:eastAsia="zh-CN"/>
              </w:rPr>
              <w:t>和</w:t>
            </w:r>
            <w:r>
              <w:rPr>
                <w:rFonts w:hint="eastAsia" w:asciiTheme="minorEastAsia" w:hAnsiTheme="minorEastAsia" w:eastAsiaTheme="minorEastAsia" w:cstheme="minorEastAsia"/>
                <w:color w:val="auto"/>
                <w:sz w:val="21"/>
                <w:szCs w:val="21"/>
                <w:highlight w:val="none"/>
              </w:rPr>
              <w:t>检测报告</w:t>
            </w:r>
            <w:r>
              <w:rPr>
                <w:rFonts w:hint="eastAsia" w:asciiTheme="minorEastAsia" w:hAnsiTheme="minorEastAsia" w:eastAsiaTheme="minorEastAsia" w:cstheme="minorEastAsia"/>
                <w:color w:val="auto"/>
                <w:sz w:val="21"/>
                <w:szCs w:val="21"/>
                <w:highlight w:val="none"/>
                <w:lang w:val="en-US" w:eastAsia="zh-CN"/>
              </w:rPr>
              <w:t>原件</w:t>
            </w:r>
            <w:r>
              <w:rPr>
                <w:rFonts w:hint="eastAsia" w:asciiTheme="minorEastAsia" w:hAnsiTheme="minorEastAsia" w:eastAsiaTheme="minorEastAsia" w:cstheme="minorEastAsia"/>
                <w:color w:val="auto"/>
                <w:sz w:val="21"/>
                <w:szCs w:val="21"/>
                <w:highlight w:val="none"/>
              </w:rPr>
              <w:t>，供采购人核实，若无法提供</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虚假响应，中标人承担一切不利后果及责任。</w:t>
            </w:r>
          </w:p>
        </w:tc>
      </w:tr>
    </w:tbl>
    <w:p w14:paraId="73AE418A">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sz w:val="24"/>
          <w:szCs w:val="24"/>
        </w:rPr>
      </w:pPr>
    </w:p>
    <w:p w14:paraId="6A8AA4E3">
      <w:pPr>
        <w:pStyle w:val="5"/>
        <w:keepNext/>
        <w:keepLines/>
        <w:pageBreakBefore w:val="0"/>
        <w:widowControl w:val="0"/>
        <w:kinsoku/>
        <w:wordWrap/>
        <w:overflowPunct/>
        <w:topLinePunct w:val="0"/>
        <w:autoSpaceDE/>
        <w:autoSpaceDN/>
        <w:bidi w:val="0"/>
        <w:adjustRightInd/>
        <w:snapToGrid/>
        <w:spacing w:before="0" w:after="0" w:line="360" w:lineRule="auto"/>
        <w:jc w:val="left"/>
        <w:textAlignment w:val="auto"/>
        <w:rPr>
          <w:sz w:val="24"/>
          <w:szCs w:val="24"/>
        </w:rPr>
      </w:pPr>
      <w:r>
        <w:rPr>
          <w:sz w:val="24"/>
          <w:szCs w:val="24"/>
        </w:rPr>
        <w:t>一、采购需求前附表</w:t>
      </w:r>
    </w:p>
    <w:tbl>
      <w:tblPr>
        <w:tblStyle w:val="15"/>
        <w:tblW w:w="92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712"/>
        <w:gridCol w:w="1382"/>
        <w:gridCol w:w="7188"/>
      </w:tblGrid>
      <w:tr w14:paraId="0725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724" w:hRule="atLeast"/>
          <w:jc w:val="center"/>
        </w:trPr>
        <w:tc>
          <w:tcPr>
            <w:tcW w:w="712" w:type="dxa"/>
            <w:vAlign w:val="center"/>
          </w:tcPr>
          <w:p w14:paraId="22118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序号</w:t>
            </w:r>
          </w:p>
        </w:tc>
        <w:tc>
          <w:tcPr>
            <w:tcW w:w="1382" w:type="dxa"/>
            <w:vAlign w:val="center"/>
          </w:tcPr>
          <w:p w14:paraId="6560E1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条款名称</w:t>
            </w:r>
          </w:p>
        </w:tc>
        <w:tc>
          <w:tcPr>
            <w:tcW w:w="7188" w:type="dxa"/>
            <w:vAlign w:val="center"/>
          </w:tcPr>
          <w:p w14:paraId="0A053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sz w:val="24"/>
                <w:szCs w:val="24"/>
              </w:rPr>
            </w:pPr>
            <w:r>
              <w:rPr>
                <w:rFonts w:hint="eastAsia" w:ascii="宋体" w:hAnsi="宋体" w:eastAsia="宋体" w:cs="宋体"/>
                <w:b/>
                <w:bCs/>
                <w:sz w:val="24"/>
                <w:szCs w:val="24"/>
              </w:rPr>
              <w:t>内容、说明与要求</w:t>
            </w:r>
          </w:p>
        </w:tc>
      </w:tr>
      <w:tr w14:paraId="60F9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251" w:hRule="atLeast"/>
          <w:jc w:val="center"/>
        </w:trPr>
        <w:tc>
          <w:tcPr>
            <w:tcW w:w="712" w:type="dxa"/>
            <w:vAlign w:val="center"/>
          </w:tcPr>
          <w:p w14:paraId="0C2EE7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1</w:t>
            </w:r>
          </w:p>
        </w:tc>
        <w:tc>
          <w:tcPr>
            <w:tcW w:w="1382" w:type="dxa"/>
            <w:vAlign w:val="center"/>
          </w:tcPr>
          <w:p w14:paraId="53053B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p>
          <w:p w14:paraId="18D304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付款方式</w:t>
            </w:r>
          </w:p>
        </w:tc>
        <w:tc>
          <w:tcPr>
            <w:tcW w:w="7188" w:type="dxa"/>
            <w:vAlign w:val="center"/>
          </w:tcPr>
          <w:p w14:paraId="695468AE">
            <w:pPr>
              <w:spacing w:line="500" w:lineRule="exact"/>
              <w:jc w:val="left"/>
              <w:rPr>
                <w:rFonts w:hint="eastAsia" w:ascii="宋体" w:hAnsi="宋体" w:cs="宋体"/>
                <w:b w:val="0"/>
                <w:bCs w:val="0"/>
                <w:sz w:val="24"/>
              </w:rPr>
            </w:pPr>
            <w:r>
              <w:rPr>
                <w:rFonts w:hint="eastAsia" w:ascii="宋体" w:hAnsi="宋体" w:cs="宋体"/>
                <w:b w:val="0"/>
                <w:bCs w:val="0"/>
                <w:sz w:val="24"/>
              </w:rPr>
              <w:t>⑴对供应商为大型企业的项目或者以人工投入为主且实行按月定期结算支付款项的项目，采购人确定预付款为合同金额的</w:t>
            </w:r>
            <w:r>
              <w:rPr>
                <w:rFonts w:hint="eastAsia" w:ascii="宋体" w:hAnsi="宋体" w:cs="宋体"/>
                <w:b w:val="0"/>
                <w:bCs w:val="0"/>
                <w:sz w:val="24"/>
                <w:u w:val="single"/>
              </w:rPr>
              <w:t xml:space="preserve"> </w:t>
            </w:r>
            <w:r>
              <w:rPr>
                <w:rFonts w:hint="eastAsia" w:ascii="宋体" w:hAnsi="宋体" w:cs="宋体"/>
                <w:b w:val="0"/>
                <w:bCs w:val="0"/>
                <w:sz w:val="24"/>
                <w:u w:val="single"/>
                <w:lang w:val="en-US" w:eastAsia="zh-CN"/>
              </w:rPr>
              <w:t>0</w:t>
            </w:r>
            <w:r>
              <w:rPr>
                <w:rFonts w:hint="eastAsia" w:ascii="宋体" w:hAnsi="宋体" w:cs="宋体"/>
                <w:b w:val="0"/>
                <w:bCs w:val="0"/>
                <w:sz w:val="24"/>
                <w:u w:val="single"/>
              </w:rPr>
              <w:t xml:space="preserve"> </w:t>
            </w:r>
            <w:r>
              <w:rPr>
                <w:rFonts w:hint="eastAsia" w:ascii="宋体" w:hAnsi="宋体" w:cs="宋体"/>
                <w:b w:val="0"/>
                <w:bCs w:val="0"/>
                <w:sz w:val="24"/>
              </w:rPr>
              <w:t>（0-70%）；</w:t>
            </w:r>
          </w:p>
          <w:p w14:paraId="138679CB">
            <w:pPr>
              <w:spacing w:line="500" w:lineRule="exact"/>
              <w:jc w:val="left"/>
              <w:rPr>
                <w:rFonts w:hint="eastAsia" w:ascii="宋体" w:hAnsi="宋体" w:cs="宋体"/>
                <w:b w:val="0"/>
                <w:bCs w:val="0"/>
                <w:sz w:val="24"/>
              </w:rPr>
            </w:pPr>
            <w:r>
              <w:rPr>
                <w:rFonts w:hint="eastAsia" w:ascii="宋体" w:hAnsi="宋体" w:cs="宋体"/>
                <w:b w:val="0"/>
                <w:bCs w:val="0"/>
                <w:sz w:val="24"/>
              </w:rPr>
              <w:t>⑵中小企业合同，采购人确定预付款为合同金额的</w:t>
            </w:r>
            <w:r>
              <w:rPr>
                <w:rFonts w:hint="eastAsia" w:ascii="宋体" w:hAnsi="宋体" w:cs="宋体"/>
                <w:b w:val="0"/>
                <w:bCs w:val="0"/>
                <w:sz w:val="24"/>
                <w:u w:val="single"/>
              </w:rPr>
              <w:t xml:space="preserve"> 40% </w:t>
            </w:r>
            <w:r>
              <w:rPr>
                <w:rFonts w:hint="eastAsia" w:ascii="宋体" w:hAnsi="宋体" w:cs="宋体"/>
                <w:b w:val="0"/>
                <w:bCs w:val="0"/>
                <w:sz w:val="24"/>
              </w:rPr>
              <w:t>（40%-70%）；</w:t>
            </w:r>
          </w:p>
          <w:p w14:paraId="161EFC98">
            <w:pPr>
              <w:spacing w:line="500" w:lineRule="exact"/>
              <w:jc w:val="left"/>
              <w:rPr>
                <w:rFonts w:hint="eastAsia" w:ascii="宋体" w:hAnsi="宋体" w:cs="宋体"/>
                <w:b w:val="0"/>
                <w:bCs w:val="0"/>
                <w:sz w:val="24"/>
              </w:rPr>
            </w:pPr>
            <w:r>
              <w:rPr>
                <w:rFonts w:hint="eastAsia" w:ascii="宋体" w:hAnsi="宋体" w:cs="宋体"/>
                <w:b w:val="0"/>
                <w:bCs w:val="0"/>
                <w:sz w:val="24"/>
              </w:rPr>
              <w:t>⑶分年度安排预算的项目，采购人确定每年预付款为当年合同金额的</w:t>
            </w:r>
            <w:r>
              <w:rPr>
                <w:rFonts w:hint="eastAsia" w:ascii="宋体" w:hAnsi="宋体" w:cs="宋体"/>
                <w:b w:val="0"/>
                <w:bCs w:val="0"/>
                <w:sz w:val="24"/>
                <w:u w:val="single"/>
              </w:rPr>
              <w:t xml:space="preserve"> </w:t>
            </w:r>
            <w:r>
              <w:rPr>
                <w:rFonts w:hint="eastAsia" w:ascii="宋体" w:hAnsi="宋体" w:cs="宋体"/>
                <w:b w:val="0"/>
                <w:bCs w:val="0"/>
                <w:sz w:val="24"/>
                <w:u w:val="single"/>
                <w:lang w:val="en-US" w:eastAsia="zh-CN"/>
              </w:rPr>
              <w:t xml:space="preserve">/ </w:t>
            </w:r>
            <w:r>
              <w:rPr>
                <w:rFonts w:hint="eastAsia" w:ascii="宋体" w:hAnsi="宋体" w:cs="宋体"/>
                <w:b w:val="0"/>
                <w:bCs w:val="0"/>
                <w:sz w:val="24"/>
              </w:rPr>
              <w:t>（40%-70%）。</w:t>
            </w:r>
          </w:p>
          <w:p w14:paraId="60334CFB">
            <w:pPr>
              <w:spacing w:line="500" w:lineRule="exact"/>
              <w:jc w:val="left"/>
              <w:rPr>
                <w:rFonts w:hint="eastAsia" w:ascii="宋体" w:hAnsi="宋体" w:eastAsia="宋体" w:cs="宋体"/>
                <w:b w:val="0"/>
                <w:bCs w:val="0"/>
                <w:sz w:val="24"/>
                <w:lang w:eastAsia="zh-CN"/>
              </w:rPr>
            </w:pPr>
            <w:r>
              <w:rPr>
                <w:rFonts w:hint="eastAsia" w:ascii="宋体" w:hAnsi="宋体" w:eastAsia="宋体" w:cs="宋体"/>
                <w:b/>
                <w:bCs/>
                <w:sz w:val="24"/>
                <w:szCs w:val="24"/>
              </w:rPr>
              <w:t>剩余款支付方式</w:t>
            </w:r>
            <w:r>
              <w:rPr>
                <w:rFonts w:hint="eastAsia" w:ascii="宋体" w:hAnsi="宋体" w:cs="宋体"/>
                <w:b/>
                <w:bCs/>
                <w:sz w:val="24"/>
                <w:szCs w:val="24"/>
                <w:lang w:eastAsia="zh-CN"/>
              </w:rPr>
              <w:t>：</w:t>
            </w:r>
            <w:r>
              <w:rPr>
                <w:rFonts w:hint="eastAsia" w:ascii="宋体" w:hAnsi="宋体" w:eastAsia="宋体" w:cs="宋体"/>
                <w:b w:val="0"/>
                <w:bCs w:val="0"/>
                <w:sz w:val="24"/>
                <w:lang w:eastAsia="zh-CN"/>
              </w:rPr>
              <w:t>验收合格后，一次性支付剩余60%合同款项。</w:t>
            </w:r>
          </w:p>
          <w:p w14:paraId="10889640">
            <w:pPr>
              <w:spacing w:line="500" w:lineRule="exact"/>
              <w:jc w:val="left"/>
              <w:rPr>
                <w:rFonts w:ascii="宋体" w:hAnsi="宋体" w:eastAsia="宋体" w:cs="宋体"/>
                <w:sz w:val="24"/>
                <w:szCs w:val="24"/>
              </w:rPr>
            </w:pPr>
            <w:r>
              <w:rPr>
                <w:rFonts w:hint="eastAsia" w:ascii="宋体" w:hAnsi="宋体" w:eastAsia="宋体" w:cs="宋体"/>
                <w:b/>
                <w:bCs/>
                <w:sz w:val="24"/>
                <w:szCs w:val="24"/>
              </w:rPr>
              <w:t>注：</w:t>
            </w:r>
            <w:r>
              <w:rPr>
                <w:rFonts w:hint="eastAsia" w:ascii="宋体" w:hAnsi="宋体" w:eastAsia="宋体" w:cs="宋体"/>
                <w:b w:val="0"/>
                <w:bCs w:val="0"/>
                <w:sz w:val="24"/>
                <w:szCs w:val="24"/>
              </w:rPr>
              <w:t>采购人可根据项目特点、供应商诚信等因素，要求供应商提交银行、保险公司、担保公司等金融机构出具的</w:t>
            </w:r>
            <w:r>
              <w:rPr>
                <w:rFonts w:hint="eastAsia" w:ascii="宋体" w:hAnsi="宋体" w:eastAsia="宋体" w:cs="宋体"/>
                <w:b w:val="0"/>
                <w:bCs w:val="0"/>
                <w:sz w:val="24"/>
                <w:szCs w:val="24"/>
                <w:lang w:val="en-US" w:eastAsia="zh-CN"/>
              </w:rPr>
              <w:t>无条件见索即付</w:t>
            </w:r>
            <w:r>
              <w:rPr>
                <w:rFonts w:hint="eastAsia" w:ascii="宋体" w:hAnsi="宋体" w:eastAsia="宋体" w:cs="宋体"/>
                <w:b w:val="0"/>
                <w:bCs w:val="0"/>
                <w:sz w:val="24"/>
                <w:szCs w:val="24"/>
              </w:rPr>
              <w:t>预付款保函或其他担保措施。政府采购预付款在合同、担保措施生效以及具备实施条件后 5 个工作日内支付。</w:t>
            </w:r>
          </w:p>
        </w:tc>
      </w:tr>
      <w:tr w14:paraId="7947F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940" w:hRule="atLeast"/>
          <w:jc w:val="center"/>
        </w:trPr>
        <w:tc>
          <w:tcPr>
            <w:tcW w:w="712" w:type="dxa"/>
            <w:vAlign w:val="center"/>
          </w:tcPr>
          <w:p w14:paraId="457CB3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2</w:t>
            </w:r>
          </w:p>
        </w:tc>
        <w:tc>
          <w:tcPr>
            <w:tcW w:w="1382" w:type="dxa"/>
            <w:vAlign w:val="center"/>
          </w:tcPr>
          <w:p w14:paraId="649982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供货及安装地点</w:t>
            </w:r>
          </w:p>
        </w:tc>
        <w:tc>
          <w:tcPr>
            <w:tcW w:w="7188" w:type="dxa"/>
            <w:vAlign w:val="center"/>
          </w:tcPr>
          <w:p w14:paraId="03DF33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hint="eastAsia" w:ascii="宋体" w:hAnsi="宋体" w:eastAsia="宋体" w:cs="宋体"/>
                <w:sz w:val="24"/>
                <w:szCs w:val="24"/>
              </w:rPr>
              <w:t>安徽国防科技职业学院新校区，具体地点由采购人指定。</w:t>
            </w:r>
          </w:p>
        </w:tc>
      </w:tr>
      <w:tr w14:paraId="1871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1025" w:hRule="atLeast"/>
          <w:jc w:val="center"/>
        </w:trPr>
        <w:tc>
          <w:tcPr>
            <w:tcW w:w="712" w:type="dxa"/>
            <w:vAlign w:val="center"/>
          </w:tcPr>
          <w:p w14:paraId="4C6F6B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3</w:t>
            </w:r>
          </w:p>
        </w:tc>
        <w:tc>
          <w:tcPr>
            <w:tcW w:w="1382" w:type="dxa"/>
            <w:vAlign w:val="center"/>
          </w:tcPr>
          <w:p w14:paraId="3EF74D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rPr>
            </w:pPr>
            <w:r>
              <w:rPr>
                <w:rFonts w:hint="eastAsia" w:ascii="宋体" w:hAnsi="宋体" w:eastAsia="宋体" w:cs="宋体"/>
                <w:sz w:val="24"/>
                <w:szCs w:val="24"/>
              </w:rPr>
              <w:t>供货及安装期限</w:t>
            </w:r>
          </w:p>
        </w:tc>
        <w:tc>
          <w:tcPr>
            <w:tcW w:w="7188" w:type="dxa"/>
            <w:vAlign w:val="center"/>
          </w:tcPr>
          <w:p w14:paraId="5701B0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合同签订生效后，接到采购人通知后90个日历日内完成设备供货及安装。</w:t>
            </w:r>
          </w:p>
        </w:tc>
      </w:tr>
      <w:tr w14:paraId="3EF23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26" w:hRule="atLeast"/>
          <w:jc w:val="center"/>
        </w:trPr>
        <w:tc>
          <w:tcPr>
            <w:tcW w:w="712" w:type="dxa"/>
            <w:vAlign w:val="center"/>
          </w:tcPr>
          <w:p w14:paraId="5AA1F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382" w:type="dxa"/>
            <w:vAlign w:val="center"/>
          </w:tcPr>
          <w:p w14:paraId="1832A5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sz w:val="24"/>
                <w:szCs w:val="24"/>
                <w:highlight w:val="none"/>
              </w:rPr>
            </w:pPr>
            <w:r>
              <w:rPr>
                <w:rFonts w:hint="eastAsia" w:ascii="宋体" w:hAnsi="宋体" w:eastAsia="宋体" w:cs="宋体"/>
                <w:sz w:val="24"/>
                <w:szCs w:val="24"/>
                <w:highlight w:val="none"/>
              </w:rPr>
              <w:t>质保期</w:t>
            </w:r>
          </w:p>
        </w:tc>
        <w:tc>
          <w:tcPr>
            <w:tcW w:w="7188" w:type="dxa"/>
            <w:vAlign w:val="center"/>
          </w:tcPr>
          <w:p w14:paraId="62C6354A">
            <w:pPr>
              <w:pStyle w:val="7"/>
              <w:numPr>
                <w:ilvl w:val="0"/>
                <w:numId w:val="0"/>
              </w:numPr>
              <w:topLinePunct w:val="0"/>
              <w:rPr>
                <w:rFonts w:ascii="宋体" w:hAnsi="宋体" w:eastAsia="宋体" w:cs="宋体"/>
                <w:sz w:val="24"/>
                <w:szCs w:val="24"/>
                <w:highlight w:val="none"/>
              </w:rPr>
            </w:pPr>
            <w:r>
              <w:rPr>
                <w:rFonts w:hint="eastAsia" w:ascii="宋体" w:hAnsi="宋体" w:eastAsia="宋体" w:cs="宋体"/>
                <w:sz w:val="24"/>
                <w:szCs w:val="24"/>
                <w:highlight w:val="none"/>
              </w:rPr>
              <w:t>验收合格之日起</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年。</w:t>
            </w:r>
          </w:p>
        </w:tc>
      </w:tr>
    </w:tbl>
    <w:p w14:paraId="0BEFAB93">
      <w:pPr>
        <w:keepNext w:val="0"/>
        <w:keepLines w:val="0"/>
        <w:pageBreakBefore w:val="0"/>
        <w:widowControl w:val="0"/>
        <w:kinsoku/>
        <w:wordWrap/>
        <w:overflowPunct/>
        <w:topLinePunct w:val="0"/>
        <w:autoSpaceDE/>
        <w:autoSpaceDN/>
        <w:bidi w:val="0"/>
        <w:adjustRightInd/>
        <w:snapToGrid/>
        <w:spacing w:line="560" w:lineRule="exact"/>
        <w:ind w:left="0" w:firstLine="482" w:firstLineChars="200"/>
        <w:jc w:val="both"/>
        <w:textAlignment w:val="auto"/>
        <w:rPr>
          <w:rFonts w:hint="default" w:ascii="宋体" w:hAnsi="宋体" w:eastAsia="宋体" w:cs="宋体"/>
          <w:b/>
          <w:bCs/>
          <w:strike w:val="0"/>
          <w:dstrike w:val="0"/>
          <w:sz w:val="24"/>
          <w:highlight w:val="none"/>
          <w:lang w:val="en-US" w:eastAsia="zh-CN"/>
        </w:rPr>
      </w:pPr>
    </w:p>
    <w:p w14:paraId="5319354C">
      <w:pPr>
        <w:pStyle w:val="2"/>
        <w:rPr>
          <w:rFonts w:hint="eastAsia" w:ascii="仿宋" w:hAnsi="仿宋" w:eastAsia="仿宋" w:cs="仿宋"/>
          <w:b w:val="0"/>
          <w:bCs w:val="0"/>
          <w:color w:val="auto"/>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p>
    <w:p w14:paraId="201E5E3E">
      <w:pPr>
        <w:pStyle w:val="2"/>
        <w:rPr>
          <w:rFonts w:hint="eastAsia" w:ascii="仿宋" w:hAnsi="仿宋" w:eastAsia="仿宋" w:cs="仿宋"/>
          <w:b w:val="0"/>
          <w:bCs w:val="0"/>
          <w:color w:val="auto"/>
          <w:kern w:val="2"/>
          <w:sz w:val="28"/>
          <w:szCs w:val="28"/>
          <w:highlight w:val="none"/>
          <w:lang w:val="en-US" w:eastAsia="zh-CN" w:bidi="ar-SA"/>
        </w:rPr>
      </w:pPr>
    </w:p>
    <w:p w14:paraId="23139114">
      <w:pPr>
        <w:pStyle w:val="4"/>
        <w:outlineLvl w:val="1"/>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第一包</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采购标的名称、数量及技术要求</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tbl>
      <w:tblPr>
        <w:tblStyle w:val="13"/>
        <w:tblpPr w:leftFromText="180" w:rightFromText="180" w:vertAnchor="text" w:horzAnchor="page" w:tblpX="1882" w:tblpY="305"/>
        <w:tblOverlap w:val="never"/>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700"/>
        <w:gridCol w:w="1062"/>
        <w:gridCol w:w="3720"/>
        <w:gridCol w:w="480"/>
        <w:gridCol w:w="525"/>
        <w:gridCol w:w="510"/>
        <w:gridCol w:w="555"/>
        <w:gridCol w:w="933"/>
      </w:tblGrid>
      <w:tr w14:paraId="765D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09" w:type="dxa"/>
            <w:tcBorders>
              <w:tl2br w:val="nil"/>
              <w:tr2bl w:val="nil"/>
            </w:tcBorders>
            <w:noWrap w:val="0"/>
            <w:vAlign w:val="center"/>
          </w:tcPr>
          <w:p w14:paraId="440F75D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700" w:type="dxa"/>
            <w:tcBorders>
              <w:tl2br w:val="nil"/>
              <w:tr2bl w:val="nil"/>
            </w:tcBorders>
            <w:noWrap w:val="0"/>
            <w:vAlign w:val="center"/>
          </w:tcPr>
          <w:p w14:paraId="22A5FFE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设备名称</w:t>
            </w:r>
          </w:p>
        </w:tc>
        <w:tc>
          <w:tcPr>
            <w:tcW w:w="1062" w:type="dxa"/>
            <w:tcBorders>
              <w:tl2br w:val="nil"/>
              <w:tr2bl w:val="nil"/>
            </w:tcBorders>
            <w:noWrap w:val="0"/>
            <w:vAlign w:val="center"/>
          </w:tcPr>
          <w:p w14:paraId="5AB50E9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设备规格</w:t>
            </w:r>
          </w:p>
        </w:tc>
        <w:tc>
          <w:tcPr>
            <w:tcW w:w="3720" w:type="dxa"/>
            <w:tcBorders>
              <w:tl2br w:val="nil"/>
              <w:tr2bl w:val="nil"/>
            </w:tcBorders>
            <w:noWrap w:val="0"/>
            <w:vAlign w:val="center"/>
          </w:tcPr>
          <w:p w14:paraId="1DB1C39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技术参数及要求</w:t>
            </w:r>
          </w:p>
        </w:tc>
        <w:tc>
          <w:tcPr>
            <w:tcW w:w="480" w:type="dxa"/>
            <w:tcBorders>
              <w:tl2br w:val="nil"/>
              <w:tr2bl w:val="nil"/>
            </w:tcBorders>
            <w:noWrap w:val="0"/>
            <w:vAlign w:val="center"/>
          </w:tcPr>
          <w:p w14:paraId="0B07010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525" w:type="dxa"/>
            <w:tcBorders>
              <w:tl2br w:val="nil"/>
              <w:tr2bl w:val="nil"/>
            </w:tcBorders>
            <w:noWrap w:val="0"/>
            <w:vAlign w:val="center"/>
          </w:tcPr>
          <w:p w14:paraId="2940D8F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c>
          <w:tcPr>
            <w:tcW w:w="510" w:type="dxa"/>
            <w:tcBorders>
              <w:tl2br w:val="nil"/>
              <w:tr2bl w:val="nil"/>
            </w:tcBorders>
            <w:noWrap w:val="0"/>
            <w:vAlign w:val="center"/>
          </w:tcPr>
          <w:p w14:paraId="4B176B3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单价</w:t>
            </w:r>
          </w:p>
        </w:tc>
        <w:tc>
          <w:tcPr>
            <w:tcW w:w="555" w:type="dxa"/>
            <w:tcBorders>
              <w:tl2br w:val="nil"/>
              <w:tr2bl w:val="nil"/>
            </w:tcBorders>
            <w:noWrap w:val="0"/>
            <w:vAlign w:val="center"/>
          </w:tcPr>
          <w:p w14:paraId="747DE01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金额</w:t>
            </w:r>
          </w:p>
        </w:tc>
        <w:tc>
          <w:tcPr>
            <w:tcW w:w="933" w:type="dxa"/>
            <w:tcBorders>
              <w:tl2br w:val="nil"/>
              <w:tr2bl w:val="nil"/>
            </w:tcBorders>
            <w:noWrap w:val="0"/>
            <w:vAlign w:val="center"/>
          </w:tcPr>
          <w:p w14:paraId="1D72FA8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p>
        </w:tc>
      </w:tr>
      <w:tr w14:paraId="5FD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094" w:type="dxa"/>
            <w:gridSpan w:val="9"/>
            <w:tcBorders>
              <w:tl2br w:val="nil"/>
              <w:tr2bl w:val="nil"/>
            </w:tcBorders>
            <w:shd w:val="clear" w:color="auto" w:fill="BFBFBF"/>
            <w:noWrap w:val="0"/>
            <w:vAlign w:val="center"/>
          </w:tcPr>
          <w:p w14:paraId="600615E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27#食堂   </w:t>
            </w:r>
          </w:p>
        </w:tc>
      </w:tr>
      <w:tr w14:paraId="6C25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607A83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shd w:val="clear" w:color="auto" w:fill="FFFFFF"/>
            <w:noWrap w:val="0"/>
            <w:vAlign w:val="center"/>
          </w:tcPr>
          <w:p w14:paraId="28010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集烟罩餐饮业油烟净化一体设备</w:t>
            </w:r>
          </w:p>
        </w:tc>
        <w:tc>
          <w:tcPr>
            <w:tcW w:w="1062" w:type="dxa"/>
            <w:tcBorders>
              <w:tl2br w:val="nil"/>
              <w:tr2bl w:val="nil"/>
            </w:tcBorders>
            <w:shd w:val="clear" w:color="auto" w:fill="FFFFFF"/>
            <w:noWrap w:val="0"/>
            <w:vAlign w:val="center"/>
          </w:tcPr>
          <w:p w14:paraId="7933F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≥2400mm*1300mm*990mm</w:t>
            </w:r>
          </w:p>
        </w:tc>
        <w:tc>
          <w:tcPr>
            <w:tcW w:w="3720" w:type="dxa"/>
            <w:tcBorders>
              <w:tl2br w:val="nil"/>
              <w:tr2bl w:val="nil"/>
            </w:tcBorders>
            <w:shd w:val="clear" w:color="auto" w:fill="FFFFFF"/>
            <w:noWrap w:val="0"/>
            <w:vAlign w:val="center"/>
          </w:tcPr>
          <w:p w14:paraId="06ABDE0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1、尺寸：≥2400mm*1300mm*990mm；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2、处理风量：每米烟罩排烟量≥2000立方/小时；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3、电源三相五线制380V；功率： ≤3kw；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4、风口尺寸：450*450mm；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5、风口方向：可前、后、上三个方向调节安装出风口；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6、各单元独立组合式结构设计，组装式安装；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7、电源配置：双驱智能物联电源，智能检测电场的清洁情况。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8、产品结构：全不锈钢电场，极距≥25mm；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9、电场配置：不锈钢双高压电场，净化效率≥95%；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10、设备具有环境标志(Ⅱ型)</w:t>
            </w:r>
            <w:r>
              <w:rPr>
                <w:rFonts w:hint="eastAsia" w:asciiTheme="minorEastAsia" w:hAnsiTheme="minorEastAsia" w:cstheme="minorEastAsia"/>
                <w:i w:val="0"/>
                <w:iCs w:val="0"/>
                <w:color w:val="auto"/>
                <w:kern w:val="0"/>
                <w:sz w:val="21"/>
                <w:szCs w:val="21"/>
                <w:highlight w:val="none"/>
                <w:u w:val="none"/>
                <w:lang w:val="en-US" w:eastAsia="zh-CN" w:bidi="ar"/>
              </w:rPr>
              <w:t>产品认证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证书，且证书需体现出油烟净化效率均≥95%，油烟排放浓度≤0.4mg/m³，颗粒物排放浓度≤1.5 mg/m³， 非甲烷排放浓度≤2.</w:t>
            </w:r>
            <w:r>
              <w:rPr>
                <w:rFonts w:hint="eastAsia" w:asciiTheme="minorEastAsia" w:hAnsiTheme="minorEastAsia" w:cstheme="minorEastAsia"/>
                <w:i w:val="0"/>
                <w:iCs w:val="0"/>
                <w:color w:val="auto"/>
                <w:kern w:val="0"/>
                <w:sz w:val="21"/>
                <w:szCs w:val="21"/>
                <w:highlight w:val="none"/>
                <w:u w:val="none"/>
                <w:lang w:val="en-US" w:eastAsia="zh-CN" w:bidi="ar"/>
              </w:rPr>
              <w:t>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mg/m³；符合GB/T6461-2002，GB/T10125-2021《产品防腐蚀等级认证》要求防腐蚀性能评级：10级产品防腐蚀等级认证证书。</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须提供第三方机构出具的环境标志</w:t>
            </w:r>
            <w:r>
              <w:rPr>
                <w:rFonts w:hint="eastAsia" w:asciiTheme="minorEastAsia" w:hAnsiTheme="minorEastAsia" w:cstheme="minorEastAsia"/>
                <w:i w:val="0"/>
                <w:iCs w:val="0"/>
                <w:color w:val="auto"/>
                <w:kern w:val="0"/>
                <w:sz w:val="21"/>
                <w:szCs w:val="21"/>
                <w:highlight w:val="none"/>
                <w:u w:val="none"/>
                <w:lang w:val="en-US" w:eastAsia="zh-CN" w:bidi="ar"/>
              </w:rPr>
              <w:t>产品认证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证书</w:t>
            </w:r>
            <w:r>
              <w:rPr>
                <w:rFonts w:hint="eastAsia" w:asciiTheme="minorEastAsia" w:hAnsiTheme="minorEastAsia" w:cstheme="minorEastAsia"/>
                <w:i w:val="0"/>
                <w:iCs w:val="0"/>
                <w:color w:val="auto"/>
                <w:kern w:val="0"/>
                <w:sz w:val="21"/>
                <w:szCs w:val="21"/>
                <w:highlight w:val="none"/>
                <w:u w:val="none"/>
                <w:lang w:val="en-US" w:eastAsia="zh-CN" w:bidi="ar"/>
              </w:rPr>
              <w:t>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10级产品防腐蚀等级认证证书</w:t>
            </w:r>
            <w:r>
              <w:rPr>
                <w:rFonts w:hint="eastAsia" w:asciiTheme="minorEastAsia" w:hAnsiTheme="minorEastAsia" w:cstheme="minorEastAsia"/>
                <w:i w:val="0"/>
                <w:iCs w:val="0"/>
                <w:color w:val="auto"/>
                <w:kern w:val="0"/>
                <w:sz w:val="21"/>
                <w:szCs w:val="21"/>
                <w:highlight w:val="none"/>
                <w:u w:val="none"/>
                <w:lang w:val="en-US" w:eastAsia="zh-CN" w:bidi="ar"/>
              </w:rPr>
              <w:t>扫描件）</w:t>
            </w:r>
          </w:p>
        </w:tc>
        <w:tc>
          <w:tcPr>
            <w:tcW w:w="480" w:type="dxa"/>
            <w:tcBorders>
              <w:tl2br w:val="nil"/>
              <w:tr2bl w:val="nil"/>
            </w:tcBorders>
            <w:shd w:val="clear" w:color="auto" w:fill="FFFFFF"/>
            <w:noWrap w:val="0"/>
            <w:vAlign w:val="center"/>
          </w:tcPr>
          <w:p w14:paraId="2A3433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54C2C6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510" w:type="dxa"/>
            <w:tcBorders>
              <w:tl2br w:val="nil"/>
              <w:tr2bl w:val="nil"/>
            </w:tcBorders>
            <w:shd w:val="clear" w:color="auto" w:fill="FFFFFF"/>
            <w:noWrap w:val="0"/>
            <w:vAlign w:val="center"/>
          </w:tcPr>
          <w:p w14:paraId="6E60A540">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471C2F0A">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04FAC59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235661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面点区2组；操作间3组 ；</w:t>
            </w:r>
          </w:p>
          <w:p w14:paraId="0A9FCD0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二层</w:t>
            </w:r>
          </w:p>
          <w:p w14:paraId="04FE4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面点区4组；操作间3组 ；</w:t>
            </w:r>
          </w:p>
          <w:p w14:paraId="0FC60654">
            <w:pPr>
              <w:pStyle w:val="2"/>
              <w:rPr>
                <w:rFonts w:hint="eastAsia" w:asciiTheme="minorEastAsia" w:hAnsiTheme="minorEastAsia" w:cstheme="minorEastAsia"/>
                <w:color w:val="auto"/>
                <w:highlight w:val="none"/>
                <w:lang w:val="en-US" w:eastAsia="zh-CN"/>
              </w:rPr>
            </w:pPr>
          </w:p>
          <w:p w14:paraId="17222A51">
            <w:pPr>
              <w:pStyle w:val="2"/>
              <w:rPr>
                <w:rFonts w:hint="eastAsia" w:asciiTheme="minorEastAsia" w:hAnsiTheme="minorEastAsia" w:cstheme="minorEastAsia"/>
                <w:color w:val="auto"/>
                <w:highlight w:val="none"/>
                <w:lang w:val="en-US"/>
              </w:rPr>
            </w:pPr>
          </w:p>
        </w:tc>
      </w:tr>
      <w:tr w14:paraId="4FDB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609" w:type="dxa"/>
            <w:tcBorders>
              <w:tl2br w:val="nil"/>
              <w:tr2bl w:val="nil"/>
            </w:tcBorders>
            <w:shd w:val="clear" w:color="auto" w:fill="FFFFFF"/>
            <w:noWrap w:val="0"/>
            <w:vAlign w:val="center"/>
          </w:tcPr>
          <w:p w14:paraId="46E16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l2br w:val="nil"/>
              <w:tr2bl w:val="nil"/>
            </w:tcBorders>
            <w:shd w:val="clear" w:color="auto" w:fill="FFFFFF"/>
            <w:noWrap w:val="0"/>
            <w:vAlign w:val="center"/>
          </w:tcPr>
          <w:p w14:paraId="3BC86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集烟罩餐饮业油烟净化一体设备</w:t>
            </w:r>
          </w:p>
        </w:tc>
        <w:tc>
          <w:tcPr>
            <w:tcW w:w="1062" w:type="dxa"/>
            <w:tcBorders>
              <w:tl2br w:val="nil"/>
              <w:tr2bl w:val="nil"/>
            </w:tcBorders>
            <w:shd w:val="clear" w:color="auto" w:fill="FFFFFF"/>
            <w:noWrap w:val="0"/>
            <w:vAlign w:val="center"/>
          </w:tcPr>
          <w:p w14:paraId="4242A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≥2000mm*1300mm*990mm</w:t>
            </w:r>
          </w:p>
        </w:tc>
        <w:tc>
          <w:tcPr>
            <w:tcW w:w="3720" w:type="dxa"/>
            <w:tcBorders>
              <w:tl2br w:val="nil"/>
              <w:tr2bl w:val="nil"/>
            </w:tcBorders>
            <w:shd w:val="clear" w:color="auto" w:fill="FFFFFF"/>
            <w:noWrap w:val="0"/>
            <w:vAlign w:val="center"/>
          </w:tcPr>
          <w:p w14:paraId="08462E7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1、尺寸：≥2000mm*1300mm*990mm；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2、处理风量：每米烟罩排烟量≥2000立</w:t>
            </w:r>
            <w:r>
              <w:rPr>
                <w:rFonts w:hint="eastAsia" w:asciiTheme="minorEastAsia" w:hAnsiTheme="minorEastAsia" w:cstheme="minorEastAsia"/>
                <w:i w:val="0"/>
                <w:iCs w:val="0"/>
                <w:color w:val="auto"/>
                <w:kern w:val="0"/>
                <w:sz w:val="21"/>
                <w:szCs w:val="21"/>
                <w:highlight w:val="none"/>
                <w:u w:val="none"/>
                <w:lang w:val="en-US" w:eastAsia="zh-CN" w:bidi="ar"/>
              </w:rPr>
              <w:t>方米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3、电源三相五线制380V；功率： ≤3kw；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4、风口尺寸：≥450*450mm；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5、风口方向：可前、后、上三个方向调节安装出风口；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6、各单元独立组合式结构设计，组装式安装；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7、电源配置：双驱智能物联电源，智能检测电场的清洁情况；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8、产品结构：全不锈钢电场，极距≥25mm；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9、电场配置：不锈钢双高压电场，净化效率≥95%；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10、设备具有环境标志(Ⅱ型)</w:t>
            </w:r>
            <w:r>
              <w:rPr>
                <w:rFonts w:hint="eastAsia" w:asciiTheme="minorEastAsia" w:hAnsiTheme="minorEastAsia" w:cstheme="minorEastAsia"/>
                <w:i w:val="0"/>
                <w:iCs w:val="0"/>
                <w:color w:val="auto"/>
                <w:kern w:val="0"/>
                <w:sz w:val="21"/>
                <w:szCs w:val="21"/>
                <w:highlight w:val="none"/>
                <w:u w:val="none"/>
                <w:lang w:val="en-US" w:eastAsia="zh-CN" w:bidi="ar"/>
              </w:rPr>
              <w:t>产品认证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证书，且证书需体现出油烟净化效率均≥95%，油烟排放浓度≤0.4mg/m³，颗粒物排放浓度≤1.5 mg/m³， 非甲烷排放浓度≤2.</w:t>
            </w:r>
            <w:r>
              <w:rPr>
                <w:rFonts w:hint="eastAsia" w:asciiTheme="minorEastAsia" w:hAnsiTheme="minorEastAsia" w:cstheme="minorEastAsia"/>
                <w:i w:val="0"/>
                <w:iCs w:val="0"/>
                <w:color w:val="auto"/>
                <w:kern w:val="0"/>
                <w:sz w:val="21"/>
                <w:szCs w:val="21"/>
                <w:highlight w:val="none"/>
                <w:u w:val="none"/>
                <w:lang w:val="en-US" w:eastAsia="zh-CN" w:bidi="ar"/>
              </w:rPr>
              <w:t>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mg/m³；符合GB/T6461-2002，GB/T10125-2021《产品防腐蚀等级认证》要求防腐蚀性能评级：10级产品防腐蚀等级认证证书。</w:t>
            </w:r>
          </w:p>
        </w:tc>
        <w:tc>
          <w:tcPr>
            <w:tcW w:w="480" w:type="dxa"/>
            <w:tcBorders>
              <w:tl2br w:val="nil"/>
              <w:tr2bl w:val="nil"/>
            </w:tcBorders>
            <w:shd w:val="clear" w:color="auto" w:fill="FFFFFF"/>
            <w:noWrap w:val="0"/>
            <w:vAlign w:val="center"/>
          </w:tcPr>
          <w:p w14:paraId="694085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439FB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w:t>
            </w:r>
          </w:p>
        </w:tc>
        <w:tc>
          <w:tcPr>
            <w:tcW w:w="510" w:type="dxa"/>
            <w:tcBorders>
              <w:tl2br w:val="nil"/>
              <w:tr2bl w:val="nil"/>
            </w:tcBorders>
            <w:shd w:val="clear" w:color="auto" w:fill="FFFFFF"/>
            <w:noWrap w:val="0"/>
            <w:vAlign w:val="center"/>
          </w:tcPr>
          <w:p w14:paraId="06B48CCD">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51437A32">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67CF300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114DFB1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面点区5组；操作间4组 ；</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二层</w:t>
            </w:r>
          </w:p>
          <w:p w14:paraId="2669C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面点区2组；操作间4组 </w:t>
            </w:r>
          </w:p>
          <w:p w14:paraId="2ABF7C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w:t>
            </w:r>
          </w:p>
          <w:p w14:paraId="64E53678">
            <w:pPr>
              <w:pStyle w:val="2"/>
              <w:rPr>
                <w:rFonts w:hint="eastAsia" w:asciiTheme="minorEastAsia" w:hAnsiTheme="minorEastAsia" w:cstheme="minorEastAsia"/>
                <w:color w:val="auto"/>
                <w:highlight w:val="none"/>
                <w:lang w:val="en-US" w:eastAsia="zh-CN"/>
              </w:rPr>
            </w:pPr>
          </w:p>
          <w:p w14:paraId="05D1890B">
            <w:pPr>
              <w:pStyle w:val="2"/>
              <w:rPr>
                <w:rFonts w:hint="eastAsia" w:asciiTheme="minorEastAsia" w:hAnsiTheme="minorEastAsia" w:cstheme="minorEastAsia"/>
                <w:color w:val="auto"/>
                <w:highlight w:val="none"/>
                <w:lang w:val="en-US" w:eastAsia="zh-CN"/>
              </w:rPr>
            </w:pPr>
          </w:p>
          <w:p w14:paraId="7E1C2A05">
            <w:pPr>
              <w:pStyle w:val="2"/>
              <w:rPr>
                <w:rFonts w:hint="eastAsia" w:asciiTheme="minorEastAsia" w:hAnsiTheme="minorEastAsia" w:cstheme="minorEastAsia"/>
                <w:color w:val="auto"/>
                <w:highlight w:val="none"/>
                <w:lang w:val="en-US" w:eastAsia="zh-CN"/>
              </w:rPr>
            </w:pPr>
          </w:p>
          <w:p w14:paraId="515B12B0">
            <w:pPr>
              <w:pStyle w:val="2"/>
              <w:rPr>
                <w:rFonts w:hint="eastAsia" w:asciiTheme="minorEastAsia" w:hAnsiTheme="minorEastAsia" w:cstheme="minorEastAsia"/>
                <w:color w:val="auto"/>
                <w:highlight w:val="none"/>
              </w:rPr>
            </w:pPr>
          </w:p>
        </w:tc>
      </w:tr>
      <w:tr w14:paraId="1663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27FFE6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700" w:type="dxa"/>
            <w:tcBorders>
              <w:tl2br w:val="nil"/>
              <w:tr2bl w:val="nil"/>
            </w:tcBorders>
            <w:shd w:val="clear" w:color="auto" w:fill="FFFFFF"/>
            <w:noWrap w:val="0"/>
            <w:vAlign w:val="center"/>
          </w:tcPr>
          <w:p w14:paraId="6B450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118C2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≥14800mm*H</w:t>
            </w:r>
          </w:p>
        </w:tc>
        <w:tc>
          <w:tcPr>
            <w:tcW w:w="3720" w:type="dxa"/>
            <w:tcBorders>
              <w:tl2br w:val="nil"/>
              <w:tr2bl w:val="nil"/>
            </w:tcBorders>
            <w:shd w:val="clear" w:color="auto" w:fill="FFFFFF"/>
            <w:noWrap w:val="0"/>
            <w:vAlign w:val="center"/>
          </w:tcPr>
          <w:p w14:paraId="122EA8A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w:t>
            </w:r>
            <w:r>
              <w:rPr>
                <w:rFonts w:hint="eastAsia" w:asciiTheme="minorEastAsia" w:hAnsiTheme="minorEastAsia" w:cstheme="minorEastAsia"/>
                <w:i w:val="0"/>
                <w:iCs w:val="0"/>
                <w:color w:val="auto"/>
                <w:kern w:val="0"/>
                <w:sz w:val="21"/>
                <w:szCs w:val="21"/>
                <w:highlight w:val="none"/>
                <w:u w:val="none"/>
                <w:lang w:val="en-US" w:eastAsia="zh-CN" w:bidi="ar"/>
              </w:rPr>
              <w:t>14800mm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7C7A47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639339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10" w:type="dxa"/>
            <w:tcBorders>
              <w:tl2br w:val="nil"/>
              <w:tr2bl w:val="nil"/>
            </w:tcBorders>
            <w:shd w:val="clear" w:color="auto" w:fill="FFFFFF"/>
            <w:noWrap w:val="0"/>
            <w:vAlign w:val="center"/>
          </w:tcPr>
          <w:p w14:paraId="14CD741A">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5FD71B0F">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34782E4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53932F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w:t>
            </w:r>
          </w:p>
        </w:tc>
      </w:tr>
      <w:tr w14:paraId="73CC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2A18C5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700" w:type="dxa"/>
            <w:tcBorders>
              <w:tl2br w:val="nil"/>
              <w:tr2bl w:val="nil"/>
            </w:tcBorders>
            <w:shd w:val="clear" w:color="auto" w:fill="FFFFFF"/>
            <w:noWrap w:val="0"/>
            <w:vAlign w:val="center"/>
          </w:tcPr>
          <w:p w14:paraId="0D818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3BA776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≥13600mm*H</w:t>
            </w:r>
          </w:p>
        </w:tc>
        <w:tc>
          <w:tcPr>
            <w:tcW w:w="3720" w:type="dxa"/>
            <w:tcBorders>
              <w:tl2br w:val="nil"/>
              <w:tr2bl w:val="nil"/>
            </w:tcBorders>
            <w:shd w:val="clear" w:color="auto" w:fill="FFFFFF"/>
            <w:noWrap w:val="0"/>
            <w:vAlign w:val="center"/>
          </w:tcPr>
          <w:p w14:paraId="6CA2933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w:t>
            </w:r>
            <w:r>
              <w:rPr>
                <w:rFonts w:hint="eastAsia" w:asciiTheme="minorEastAsia" w:hAnsiTheme="minorEastAsia" w:cstheme="minorEastAsia"/>
                <w:i w:val="0"/>
                <w:iCs w:val="0"/>
                <w:color w:val="auto"/>
                <w:kern w:val="0"/>
                <w:sz w:val="21"/>
                <w:szCs w:val="21"/>
                <w:highlight w:val="none"/>
                <w:u w:val="none"/>
                <w:lang w:val="en-US" w:eastAsia="zh-CN" w:bidi="ar"/>
              </w:rPr>
              <w:t>13600mm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6955DE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250D8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10" w:type="dxa"/>
            <w:tcBorders>
              <w:tl2br w:val="nil"/>
              <w:tr2bl w:val="nil"/>
            </w:tcBorders>
            <w:shd w:val="clear" w:color="auto" w:fill="FFFFFF"/>
            <w:noWrap w:val="0"/>
            <w:vAlign w:val="center"/>
          </w:tcPr>
          <w:p w14:paraId="2BF4D8F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74A5647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272B34E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2443E2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w:t>
            </w:r>
          </w:p>
        </w:tc>
      </w:tr>
      <w:tr w14:paraId="60E6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662355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l2br w:val="nil"/>
              <w:tr2bl w:val="nil"/>
            </w:tcBorders>
            <w:shd w:val="clear" w:color="auto" w:fill="FFFFFF"/>
            <w:noWrap w:val="0"/>
            <w:vAlign w:val="center"/>
          </w:tcPr>
          <w:p w14:paraId="4FAFA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791449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≥8400mm*H</w:t>
            </w:r>
          </w:p>
        </w:tc>
        <w:tc>
          <w:tcPr>
            <w:tcW w:w="3720" w:type="dxa"/>
            <w:tcBorders>
              <w:tl2br w:val="nil"/>
              <w:tr2bl w:val="nil"/>
            </w:tcBorders>
            <w:shd w:val="clear" w:color="auto" w:fill="FFFFFF"/>
            <w:noWrap w:val="0"/>
            <w:vAlign w:val="center"/>
          </w:tcPr>
          <w:p w14:paraId="203FF7D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1．规格尺寸：≥8400mm*H；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7976E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01B166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75CDEAC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5996EBFF">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0FD9664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6846F02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3148A1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1D44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5FE37A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00" w:type="dxa"/>
            <w:tcBorders>
              <w:tl2br w:val="nil"/>
              <w:tr2bl w:val="nil"/>
            </w:tcBorders>
            <w:shd w:val="clear" w:color="auto" w:fill="FFFFFF"/>
            <w:noWrap w:val="0"/>
            <w:vAlign w:val="center"/>
          </w:tcPr>
          <w:p w14:paraId="372035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06A6B3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≥9900mm*H</w:t>
            </w:r>
          </w:p>
        </w:tc>
        <w:tc>
          <w:tcPr>
            <w:tcW w:w="3720" w:type="dxa"/>
            <w:tcBorders>
              <w:tl2br w:val="nil"/>
              <w:tr2bl w:val="nil"/>
            </w:tcBorders>
            <w:shd w:val="clear" w:color="auto" w:fill="FFFFFF"/>
            <w:noWrap w:val="0"/>
            <w:vAlign w:val="center"/>
          </w:tcPr>
          <w:p w14:paraId="61952D72">
            <w:pPr>
              <w:keepNext w:val="0"/>
              <w:keepLines w:val="0"/>
              <w:widowControl/>
              <w:numPr>
                <w:ilvl w:val="0"/>
                <w:numId w:val="1"/>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规格尺寸：≥9900mm*H；</w:t>
            </w:r>
          </w:p>
          <w:p w14:paraId="17C570D8">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1233D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3ECCA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6D0CC0E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4B09980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5540F34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5D172EB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400A9A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00C4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609" w:type="dxa"/>
            <w:tcBorders>
              <w:tl2br w:val="nil"/>
              <w:tr2bl w:val="nil"/>
            </w:tcBorders>
            <w:shd w:val="clear" w:color="auto" w:fill="FFFFFF"/>
            <w:noWrap w:val="0"/>
            <w:vAlign w:val="center"/>
          </w:tcPr>
          <w:p w14:paraId="452BE2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l2br w:val="nil"/>
              <w:tr2bl w:val="nil"/>
            </w:tcBorders>
            <w:shd w:val="clear" w:color="auto" w:fill="FFFFFF"/>
            <w:noWrap w:val="0"/>
            <w:vAlign w:val="center"/>
          </w:tcPr>
          <w:p w14:paraId="3C7356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油网烟罩</w:t>
            </w:r>
          </w:p>
        </w:tc>
        <w:tc>
          <w:tcPr>
            <w:tcW w:w="1062" w:type="dxa"/>
            <w:tcBorders>
              <w:tl2br w:val="nil"/>
              <w:tr2bl w:val="nil"/>
            </w:tcBorders>
            <w:shd w:val="clear" w:color="auto" w:fill="FFFFFF"/>
            <w:noWrap w:val="0"/>
            <w:vAlign w:val="center"/>
          </w:tcPr>
          <w:p w14:paraId="16BAC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≥6400mm*1300mm*500mm</w:t>
            </w:r>
          </w:p>
        </w:tc>
        <w:tc>
          <w:tcPr>
            <w:tcW w:w="3720" w:type="dxa"/>
            <w:tcBorders>
              <w:tl2br w:val="nil"/>
              <w:tr2bl w:val="nil"/>
            </w:tcBorders>
            <w:shd w:val="clear" w:color="auto" w:fill="FFFFFF"/>
            <w:noWrap w:val="0"/>
            <w:vAlign w:val="center"/>
          </w:tcPr>
          <w:p w14:paraId="0A564F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1．规格尺寸：≥6400mm*1300mm*500mm；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2．材质：采用不锈钢双面油墨拉丝，≥1.2mm材质；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3．集烟罩与净化主体可采用可翻转式结构设计。</w:t>
            </w:r>
          </w:p>
        </w:tc>
        <w:tc>
          <w:tcPr>
            <w:tcW w:w="480" w:type="dxa"/>
            <w:tcBorders>
              <w:tl2br w:val="nil"/>
              <w:tr2bl w:val="nil"/>
            </w:tcBorders>
            <w:shd w:val="clear" w:color="auto" w:fill="FFFFFF"/>
            <w:noWrap w:val="0"/>
            <w:vAlign w:val="center"/>
          </w:tcPr>
          <w:p w14:paraId="70FEA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741DD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0B7EA4E6">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1D11AEDA">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1866FE0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3AE0C29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78BED9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2AE6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609" w:type="dxa"/>
            <w:tcBorders>
              <w:tl2br w:val="nil"/>
              <w:tr2bl w:val="nil"/>
            </w:tcBorders>
            <w:shd w:val="clear" w:color="auto" w:fill="FFFFFF"/>
            <w:noWrap w:val="0"/>
            <w:vAlign w:val="center"/>
          </w:tcPr>
          <w:p w14:paraId="42ED7D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l2br w:val="nil"/>
              <w:tr2bl w:val="nil"/>
            </w:tcBorders>
            <w:shd w:val="clear" w:color="auto" w:fill="FFFFFF"/>
            <w:noWrap w:val="0"/>
            <w:vAlign w:val="center"/>
          </w:tcPr>
          <w:p w14:paraId="75808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油网烟罩</w:t>
            </w:r>
          </w:p>
        </w:tc>
        <w:tc>
          <w:tcPr>
            <w:tcW w:w="1062" w:type="dxa"/>
            <w:tcBorders>
              <w:tl2br w:val="nil"/>
              <w:tr2bl w:val="nil"/>
            </w:tcBorders>
            <w:shd w:val="clear" w:color="auto" w:fill="FFFFFF"/>
            <w:noWrap w:val="0"/>
            <w:vAlign w:val="center"/>
          </w:tcPr>
          <w:p w14:paraId="6BB18E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≥8800mm*1300mm*500mm</w:t>
            </w:r>
          </w:p>
        </w:tc>
        <w:tc>
          <w:tcPr>
            <w:tcW w:w="3720" w:type="dxa"/>
            <w:tcBorders>
              <w:tl2br w:val="nil"/>
              <w:tr2bl w:val="nil"/>
            </w:tcBorders>
            <w:shd w:val="clear" w:color="auto" w:fill="FFFFFF"/>
            <w:noWrap w:val="0"/>
            <w:vAlign w:val="center"/>
          </w:tcPr>
          <w:p w14:paraId="52182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1．规格尺寸：≥8800mm*1300mm*500mm；2．材质：采用不锈钢双面油墨拉丝，≥1.2mm材质；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3．集烟罩与净化主体可采用可翻转式结构设计。</w:t>
            </w:r>
          </w:p>
        </w:tc>
        <w:tc>
          <w:tcPr>
            <w:tcW w:w="480" w:type="dxa"/>
            <w:tcBorders>
              <w:tl2br w:val="nil"/>
              <w:tr2bl w:val="nil"/>
            </w:tcBorders>
            <w:shd w:val="clear" w:color="auto" w:fill="FFFFFF"/>
            <w:noWrap w:val="0"/>
            <w:vAlign w:val="center"/>
          </w:tcPr>
          <w:p w14:paraId="2537A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3598A3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489E3130">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0476FD12">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68D3946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4EFF7B5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017AAB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2DB9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6" w:hRule="atLeast"/>
        </w:trPr>
        <w:tc>
          <w:tcPr>
            <w:tcW w:w="609" w:type="dxa"/>
            <w:tcBorders>
              <w:tl2br w:val="nil"/>
              <w:tr2bl w:val="nil"/>
            </w:tcBorders>
            <w:shd w:val="clear" w:color="auto" w:fill="FFFFFF"/>
            <w:noWrap w:val="0"/>
            <w:vAlign w:val="center"/>
          </w:tcPr>
          <w:p w14:paraId="5E28BB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00" w:type="dxa"/>
            <w:tcBorders>
              <w:tl2br w:val="nil"/>
              <w:tr2bl w:val="nil"/>
            </w:tcBorders>
            <w:shd w:val="clear" w:color="auto" w:fill="FFFFFF"/>
            <w:noWrap w:val="0"/>
            <w:vAlign w:val="center"/>
          </w:tcPr>
          <w:p w14:paraId="39A406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低噪音高压柜式风机（▲核心产品）</w:t>
            </w:r>
          </w:p>
        </w:tc>
        <w:tc>
          <w:tcPr>
            <w:tcW w:w="1062" w:type="dxa"/>
            <w:tcBorders>
              <w:tl2br w:val="nil"/>
              <w:tr2bl w:val="nil"/>
            </w:tcBorders>
            <w:shd w:val="clear" w:color="auto" w:fill="FFFFFF"/>
            <w:noWrap w:val="0"/>
            <w:vAlign w:val="center"/>
          </w:tcPr>
          <w:p w14:paraId="14559F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7.5KW及以上/380V</w:t>
            </w:r>
          </w:p>
        </w:tc>
        <w:tc>
          <w:tcPr>
            <w:tcW w:w="3720" w:type="dxa"/>
            <w:tcBorders>
              <w:tl2br w:val="nil"/>
              <w:tr2bl w:val="nil"/>
            </w:tcBorders>
            <w:shd w:val="clear" w:color="auto" w:fill="FFFFFF"/>
            <w:noWrap w:val="0"/>
            <w:vAlign w:val="center"/>
          </w:tcPr>
          <w:p w14:paraId="16214167">
            <w:pPr>
              <w:keepNext w:val="0"/>
              <w:keepLines w:val="0"/>
              <w:widowControl/>
              <w:numPr>
                <w:ilvl w:val="0"/>
                <w:numId w:val="2"/>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外壳采用 1.5mm 厚优质镀锌板（实厚≥1.45mm），顶底与柱子均为单块板材一体拆弯成型，无多段拼接缝隙；搭配超厚槽钢底脚，电机架与底部镀锌槽钢、镀锌角铁；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2.顶底与法兰采用单张板材一体成型工艺；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3.外壳与框架采用拼接式结构，支持整机拆装；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4.排烟风机符合 GB/T 17625.7-2013标准要求；                                                                                                                                                                                          风机电机、风轮、壳体及轴承依据 GB 26572-2025《电器电子产品有害物质限制使用要求》的标准规定；</w:t>
            </w:r>
          </w:p>
          <w:p w14:paraId="17A61E8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5、所投产品具有产品合格检测报告。</w:t>
            </w:r>
          </w:p>
        </w:tc>
        <w:tc>
          <w:tcPr>
            <w:tcW w:w="480" w:type="dxa"/>
            <w:tcBorders>
              <w:tl2br w:val="nil"/>
              <w:tr2bl w:val="nil"/>
            </w:tcBorders>
            <w:shd w:val="clear" w:color="auto" w:fill="FFFFFF"/>
            <w:noWrap w:val="0"/>
            <w:vAlign w:val="center"/>
          </w:tcPr>
          <w:p w14:paraId="6D9B39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08C69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6509AB59">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7EBCF4FE">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5A83C13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277D0EB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62FF1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3D76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09" w:type="dxa"/>
            <w:tcBorders>
              <w:tl2br w:val="nil"/>
              <w:tr2bl w:val="nil"/>
            </w:tcBorders>
            <w:shd w:val="clear" w:color="auto" w:fill="FFFFFF"/>
            <w:noWrap w:val="0"/>
            <w:vAlign w:val="center"/>
          </w:tcPr>
          <w:p w14:paraId="72EBBE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700" w:type="dxa"/>
            <w:tcBorders>
              <w:tl2br w:val="nil"/>
              <w:tr2bl w:val="nil"/>
            </w:tcBorders>
            <w:shd w:val="clear" w:color="auto" w:fill="FFFFFF"/>
            <w:noWrap w:val="0"/>
            <w:vAlign w:val="center"/>
          </w:tcPr>
          <w:p w14:paraId="6DEB7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组合控制箱</w:t>
            </w:r>
          </w:p>
        </w:tc>
        <w:tc>
          <w:tcPr>
            <w:tcW w:w="1062" w:type="dxa"/>
            <w:tcBorders>
              <w:tl2br w:val="nil"/>
              <w:tr2bl w:val="nil"/>
            </w:tcBorders>
            <w:shd w:val="clear" w:color="auto" w:fill="FFFFFF"/>
            <w:noWrap w:val="0"/>
            <w:vAlign w:val="center"/>
          </w:tcPr>
          <w:p w14:paraId="0414C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风柜配套</w:t>
            </w:r>
          </w:p>
        </w:tc>
        <w:tc>
          <w:tcPr>
            <w:tcW w:w="3720" w:type="dxa"/>
            <w:tcBorders>
              <w:tl2br w:val="nil"/>
              <w:tr2bl w:val="nil"/>
            </w:tcBorders>
            <w:shd w:val="clear" w:color="auto" w:fill="FFFFFF"/>
            <w:noWrap w:val="0"/>
            <w:vAlign w:val="center"/>
          </w:tcPr>
          <w:p w14:paraId="3ACD38E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1．规格：风机配套；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2．采用喷漆防静电配电箱；</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3．电路对电机起到短路</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缺相</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过载</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失压等保护作用；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4．用于风柜启停，具备启停控制功能，以及过载、过流保护功能，内置油烟净化器接线端子；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5．成品：有合格证。</w:t>
            </w:r>
          </w:p>
        </w:tc>
        <w:tc>
          <w:tcPr>
            <w:tcW w:w="480" w:type="dxa"/>
            <w:tcBorders>
              <w:tl2br w:val="nil"/>
              <w:tr2bl w:val="nil"/>
            </w:tcBorders>
            <w:shd w:val="clear" w:color="auto" w:fill="FFFFFF"/>
            <w:noWrap w:val="0"/>
            <w:vAlign w:val="center"/>
          </w:tcPr>
          <w:p w14:paraId="04B9D6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01344F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5128DFBC">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1A0A9B4C">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4D8864B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0E2A8E9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1F5FB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w:t>
            </w:r>
          </w:p>
        </w:tc>
      </w:tr>
      <w:tr w14:paraId="1921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shd w:val="clear" w:color="auto" w:fill="FFFFFF"/>
            <w:noWrap w:val="0"/>
            <w:vAlign w:val="center"/>
          </w:tcPr>
          <w:p w14:paraId="3F906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700" w:type="dxa"/>
            <w:tcBorders>
              <w:tl2br w:val="nil"/>
              <w:tr2bl w:val="nil"/>
            </w:tcBorders>
            <w:shd w:val="clear" w:color="auto" w:fill="FFFFFF"/>
            <w:noWrap w:val="0"/>
            <w:vAlign w:val="center"/>
          </w:tcPr>
          <w:p w14:paraId="71DFB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0B7B26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≥15200mm*H</w:t>
            </w:r>
          </w:p>
        </w:tc>
        <w:tc>
          <w:tcPr>
            <w:tcW w:w="3720" w:type="dxa"/>
            <w:tcBorders>
              <w:tl2br w:val="nil"/>
              <w:tr2bl w:val="nil"/>
            </w:tcBorders>
            <w:shd w:val="clear" w:color="auto" w:fill="FFFFFF"/>
            <w:noWrap w:val="0"/>
            <w:vAlign w:val="center"/>
          </w:tcPr>
          <w:p w14:paraId="6AE7B55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1．规格尺寸：≥15200mmm；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291B06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283736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3114885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138EA29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27CA8B9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03C1FAE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1013AD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5A9D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09" w:type="dxa"/>
            <w:tcBorders>
              <w:tl2br w:val="nil"/>
              <w:tr2bl w:val="nil"/>
            </w:tcBorders>
            <w:shd w:val="clear" w:color="auto" w:fill="FFFFFF"/>
            <w:noWrap w:val="0"/>
            <w:vAlign w:val="center"/>
          </w:tcPr>
          <w:p w14:paraId="0D2AC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700" w:type="dxa"/>
            <w:tcBorders>
              <w:tl2br w:val="nil"/>
              <w:tr2bl w:val="nil"/>
            </w:tcBorders>
            <w:shd w:val="clear" w:color="auto" w:fill="FFFFFF"/>
            <w:noWrap w:val="0"/>
            <w:vAlign w:val="center"/>
          </w:tcPr>
          <w:p w14:paraId="727BF5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低噪音高压柜式风机</w:t>
            </w:r>
          </w:p>
        </w:tc>
        <w:tc>
          <w:tcPr>
            <w:tcW w:w="1062" w:type="dxa"/>
            <w:tcBorders>
              <w:tl2br w:val="nil"/>
              <w:tr2bl w:val="nil"/>
            </w:tcBorders>
            <w:shd w:val="clear" w:color="auto" w:fill="FFFFFF"/>
            <w:noWrap w:val="0"/>
            <w:vAlign w:val="center"/>
          </w:tcPr>
          <w:p w14:paraId="3E0AE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r>
              <w:rPr>
                <w:rFonts w:hint="eastAsia" w:asciiTheme="minorEastAsia" w:hAnsiTheme="minorEastAsia" w:cstheme="minorEastAsia"/>
                <w:i w:val="0"/>
                <w:iCs w:val="0"/>
                <w:color w:val="auto"/>
                <w:kern w:val="0"/>
                <w:sz w:val="21"/>
                <w:szCs w:val="21"/>
                <w:highlight w:val="none"/>
                <w:u w:val="none"/>
                <w:lang w:val="en-US" w:eastAsia="zh-CN" w:bidi="ar"/>
              </w:rPr>
              <w:t>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及以上/380V</w:t>
            </w:r>
          </w:p>
        </w:tc>
        <w:tc>
          <w:tcPr>
            <w:tcW w:w="3720" w:type="dxa"/>
            <w:tcBorders>
              <w:tl2br w:val="nil"/>
              <w:tr2bl w:val="nil"/>
            </w:tcBorders>
            <w:shd w:val="clear" w:color="auto" w:fill="FFFFFF"/>
            <w:noWrap w:val="0"/>
            <w:vAlign w:val="center"/>
          </w:tcPr>
          <w:p w14:paraId="6E21EE92">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1.外壳采用 ≥1.5mm 厚优质镀锌板（实厚≥1.45mm），顶底与柱子均为单块板材一体拆弯成型，无多段拼接缝隙；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2.顶底与法兰采用单张板材一体成型工艺；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3.外壳与框架采用拼接式结构，支持整机拆装；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4.排烟风机符合 GB/T 17625.7-2013标准要求；                                                                                                                                                                                         </w:t>
            </w:r>
          </w:p>
          <w:p w14:paraId="485085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5、所投产品具有产品合格检测报告。  </w:t>
            </w:r>
          </w:p>
        </w:tc>
        <w:tc>
          <w:tcPr>
            <w:tcW w:w="480" w:type="dxa"/>
            <w:tcBorders>
              <w:tl2br w:val="nil"/>
              <w:tr2bl w:val="nil"/>
            </w:tcBorders>
            <w:shd w:val="clear" w:color="auto" w:fill="FFFFFF"/>
            <w:noWrap w:val="0"/>
            <w:vAlign w:val="center"/>
          </w:tcPr>
          <w:p w14:paraId="5AB4E5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695733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161270C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2F3D042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25AB158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128E78D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717916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28FE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09" w:type="dxa"/>
            <w:tcBorders>
              <w:tl2br w:val="nil"/>
              <w:tr2bl w:val="nil"/>
            </w:tcBorders>
            <w:shd w:val="clear" w:color="auto" w:fill="FFFFFF"/>
            <w:noWrap w:val="0"/>
            <w:vAlign w:val="center"/>
          </w:tcPr>
          <w:p w14:paraId="7299C7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700" w:type="dxa"/>
            <w:tcBorders>
              <w:tl2br w:val="nil"/>
              <w:tr2bl w:val="nil"/>
            </w:tcBorders>
            <w:shd w:val="clear" w:color="auto" w:fill="FFFFFF"/>
            <w:noWrap w:val="0"/>
            <w:vAlign w:val="center"/>
          </w:tcPr>
          <w:p w14:paraId="31103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电式餐饮业油烟净化设备</w:t>
            </w:r>
          </w:p>
        </w:tc>
        <w:tc>
          <w:tcPr>
            <w:tcW w:w="1062" w:type="dxa"/>
            <w:tcBorders>
              <w:tl2br w:val="nil"/>
              <w:tr2bl w:val="nil"/>
            </w:tcBorders>
            <w:shd w:val="clear" w:color="auto" w:fill="FFFFFF"/>
            <w:noWrap w:val="0"/>
            <w:vAlign w:val="center"/>
          </w:tcPr>
          <w:p w14:paraId="690460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≥40000风量</w:t>
            </w:r>
          </w:p>
        </w:tc>
        <w:tc>
          <w:tcPr>
            <w:tcW w:w="3720" w:type="dxa"/>
            <w:tcBorders>
              <w:tl2br w:val="nil"/>
              <w:tr2bl w:val="nil"/>
            </w:tcBorders>
            <w:shd w:val="clear" w:color="auto" w:fill="FFFFFF"/>
            <w:noWrap w:val="0"/>
            <w:vAlign w:val="center"/>
          </w:tcPr>
          <w:p w14:paraId="0A9B015C">
            <w:pPr>
              <w:keepNext w:val="0"/>
              <w:keepLines w:val="0"/>
              <w:widowControl/>
              <w:numPr>
                <w:ilvl w:val="0"/>
                <w:numId w:val="3"/>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设备采用智能</w:t>
            </w:r>
            <w:r>
              <w:rPr>
                <w:rFonts w:hint="eastAsia" w:asciiTheme="minorEastAsia" w:hAnsiTheme="minorEastAsia" w:cstheme="minorEastAsia"/>
                <w:i w:val="0"/>
                <w:iCs w:val="0"/>
                <w:color w:val="auto"/>
                <w:kern w:val="0"/>
                <w:sz w:val="21"/>
                <w:szCs w:val="21"/>
                <w:highlight w:val="none"/>
                <w:u w:val="none"/>
                <w:lang w:val="en-US" w:eastAsia="zh-CN" w:bidi="ar"/>
              </w:rPr>
              <w:t>高压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数字电流，高低压双输出，</w:t>
            </w:r>
            <w:r>
              <w:rPr>
                <w:rFonts w:hint="eastAsia" w:asciiTheme="minorEastAsia" w:hAnsiTheme="minorEastAsia" w:cstheme="minorEastAsia"/>
                <w:i w:val="0"/>
                <w:iCs w:val="0"/>
                <w:color w:val="auto"/>
                <w:kern w:val="0"/>
                <w:sz w:val="21"/>
                <w:szCs w:val="21"/>
                <w:highlight w:val="none"/>
                <w:u w:val="none"/>
                <w:lang w:val="en-US" w:eastAsia="zh-CN" w:bidi="ar"/>
              </w:rPr>
              <w:t>能智能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自行调节电流大小，并可选择高效或智能运行模式</w:t>
            </w:r>
            <w:r>
              <w:rPr>
                <w:rFonts w:hint="eastAsia" w:asciiTheme="minorEastAsia" w:hAnsiTheme="minorEastAsia" w:cstheme="minorEastAsia"/>
                <w:i w:val="0"/>
                <w:iCs w:val="0"/>
                <w:color w:val="auto"/>
                <w:kern w:val="0"/>
                <w:sz w:val="21"/>
                <w:szCs w:val="21"/>
                <w:highlight w:val="none"/>
                <w:u w:val="none"/>
                <w:lang w:val="en-US" w:eastAsia="zh-CN" w:bidi="ar"/>
              </w:rPr>
              <w:t>，具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有数字显示屏，显示运行电流、故障代码；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2、设备外壳采用A3碳钢，外壳采用热固性纯聚酯粉末涂料喷涂处理，外壳厚度不低于1.0mm，设备采用两级电场净化处理；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3、油烟净化器配置工作状态指示装置，提示设备运行的正常或故障状态。当电场极板油污达到一定厚度，电场工作电压降至临界点时，设备能自动报警，提示及时清理电场油污；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4、设备电场304不锈钢阴极、201不锈钢阳极。防尘防水散热系统，防水防尘设计</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IP66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5、设备具有绿色环保产品认证证书；产品阻燃等级认证证书（A1）；</w:t>
            </w:r>
          </w:p>
          <w:p w14:paraId="3A28C112">
            <w:pPr>
              <w:keepNext w:val="0"/>
              <w:keepLines w:val="0"/>
              <w:widowControl/>
              <w:numPr>
                <w:ilvl w:val="0"/>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6、设备电源通过GB/T 2423.4-2008交变湿热（12h+12h循环）检测，结论为合格；电源温度循环测试符合GB/T2423.22-2012测试标准的要求，电源耐高低温范围在-40℃～100℃，循环测试50次后结构和功能正常。</w:t>
            </w:r>
          </w:p>
        </w:tc>
        <w:tc>
          <w:tcPr>
            <w:tcW w:w="480" w:type="dxa"/>
            <w:tcBorders>
              <w:tl2br w:val="nil"/>
              <w:tr2bl w:val="nil"/>
            </w:tcBorders>
            <w:shd w:val="clear" w:color="auto" w:fill="FFFFFF"/>
            <w:noWrap w:val="0"/>
            <w:vAlign w:val="center"/>
          </w:tcPr>
          <w:p w14:paraId="6241C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31E3A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671FCF8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045D80B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158489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30EE343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32E82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0606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609" w:type="dxa"/>
            <w:tcBorders>
              <w:tl2br w:val="nil"/>
              <w:tr2bl w:val="nil"/>
            </w:tcBorders>
            <w:shd w:val="clear" w:color="auto" w:fill="FFFFFF"/>
            <w:noWrap w:val="0"/>
            <w:vAlign w:val="center"/>
          </w:tcPr>
          <w:p w14:paraId="14D603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700" w:type="dxa"/>
            <w:tcBorders>
              <w:tl2br w:val="nil"/>
              <w:tr2bl w:val="nil"/>
            </w:tcBorders>
            <w:shd w:val="clear" w:color="auto" w:fill="FFFFFF"/>
            <w:noWrap w:val="0"/>
            <w:vAlign w:val="center"/>
          </w:tcPr>
          <w:p w14:paraId="06742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组合式控制器</w:t>
            </w:r>
          </w:p>
        </w:tc>
        <w:tc>
          <w:tcPr>
            <w:tcW w:w="1062" w:type="dxa"/>
            <w:tcBorders>
              <w:tl2br w:val="nil"/>
              <w:tr2bl w:val="nil"/>
            </w:tcBorders>
            <w:shd w:val="clear" w:color="auto" w:fill="FFFFFF"/>
            <w:noWrap w:val="0"/>
            <w:vAlign w:val="center"/>
          </w:tcPr>
          <w:p w14:paraId="7F807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风柜配套</w:t>
            </w:r>
          </w:p>
        </w:tc>
        <w:tc>
          <w:tcPr>
            <w:tcW w:w="3720" w:type="dxa"/>
            <w:tcBorders>
              <w:tl2br w:val="nil"/>
              <w:tr2bl w:val="nil"/>
            </w:tcBorders>
            <w:shd w:val="clear" w:color="auto" w:fill="FFFFFF"/>
            <w:noWrap w:val="0"/>
            <w:vAlign w:val="center"/>
          </w:tcPr>
          <w:p w14:paraId="534A078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1．规格：风机、油烟净化器配套；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2．采用电子元件及壳体；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3．控制柜内有一组独立电源控制油烟净化器启停；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4．该保护器具有缺相、过载、启动三重保护。</w:t>
            </w:r>
          </w:p>
        </w:tc>
        <w:tc>
          <w:tcPr>
            <w:tcW w:w="480" w:type="dxa"/>
            <w:tcBorders>
              <w:tl2br w:val="nil"/>
              <w:tr2bl w:val="nil"/>
            </w:tcBorders>
            <w:shd w:val="clear" w:color="auto" w:fill="FFFFFF"/>
            <w:noWrap w:val="0"/>
            <w:vAlign w:val="center"/>
          </w:tcPr>
          <w:p w14:paraId="00000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6E598A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1029CC6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01893F4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68B50D4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1EBC9E5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19D8FF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3064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609" w:type="dxa"/>
            <w:tcBorders>
              <w:tl2br w:val="nil"/>
              <w:tr2bl w:val="nil"/>
            </w:tcBorders>
            <w:shd w:val="clear" w:color="auto" w:fill="FFFFFF"/>
            <w:noWrap w:val="0"/>
            <w:vAlign w:val="center"/>
          </w:tcPr>
          <w:p w14:paraId="09DAA5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700" w:type="dxa"/>
            <w:tcBorders>
              <w:tl2br w:val="nil"/>
              <w:tr2bl w:val="nil"/>
            </w:tcBorders>
            <w:shd w:val="clear" w:color="auto" w:fill="FFFFFF"/>
            <w:noWrap w:val="0"/>
            <w:vAlign w:val="center"/>
          </w:tcPr>
          <w:p w14:paraId="23FF8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不锈钢排烟风管、                                                                                                                                                                 弯头、三通等</w:t>
            </w:r>
          </w:p>
        </w:tc>
        <w:tc>
          <w:tcPr>
            <w:tcW w:w="1062" w:type="dxa"/>
            <w:tcBorders>
              <w:tl2br w:val="nil"/>
              <w:tr2bl w:val="nil"/>
            </w:tcBorders>
            <w:shd w:val="clear" w:color="auto" w:fill="FFFFFF"/>
            <w:noWrap w:val="0"/>
            <w:vAlign w:val="center"/>
          </w:tcPr>
          <w:p w14:paraId="239650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720" w:type="dxa"/>
            <w:tcBorders>
              <w:tl2br w:val="nil"/>
              <w:tr2bl w:val="nil"/>
            </w:tcBorders>
            <w:shd w:val="clear" w:color="auto" w:fill="FFFFFF"/>
            <w:noWrap w:val="0"/>
            <w:vAlign w:val="center"/>
          </w:tcPr>
          <w:p w14:paraId="2D98EF5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1．采用不锈钢板制作；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2．烟管采用1.0mm厚的磨砂贴膜不锈钢板；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3．机制共板法兰，ACL压轧加强槽线；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4．风管大边长度大于等于1000mm,需增加管道加强。</w:t>
            </w:r>
          </w:p>
        </w:tc>
        <w:tc>
          <w:tcPr>
            <w:tcW w:w="480" w:type="dxa"/>
            <w:tcBorders>
              <w:tl2br w:val="nil"/>
              <w:tr2bl w:val="nil"/>
            </w:tcBorders>
            <w:shd w:val="clear" w:color="auto" w:fill="FFFFFF"/>
            <w:noWrap w:val="0"/>
            <w:vAlign w:val="center"/>
          </w:tcPr>
          <w:p w14:paraId="418D74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平方</w:t>
            </w:r>
          </w:p>
        </w:tc>
        <w:tc>
          <w:tcPr>
            <w:tcW w:w="525" w:type="dxa"/>
            <w:tcBorders>
              <w:tl2br w:val="nil"/>
              <w:tr2bl w:val="nil"/>
            </w:tcBorders>
            <w:shd w:val="clear" w:color="auto" w:fill="FFFFFF"/>
            <w:noWrap w:val="0"/>
            <w:vAlign w:val="center"/>
          </w:tcPr>
          <w:p w14:paraId="2D0A8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1240</w:t>
            </w:r>
          </w:p>
        </w:tc>
        <w:tc>
          <w:tcPr>
            <w:tcW w:w="510" w:type="dxa"/>
            <w:tcBorders>
              <w:tl2br w:val="nil"/>
              <w:tr2bl w:val="nil"/>
            </w:tcBorders>
            <w:shd w:val="clear" w:color="auto" w:fill="FFFFFF"/>
            <w:noWrap w:val="0"/>
            <w:vAlign w:val="center"/>
          </w:tcPr>
          <w:p w14:paraId="51EA836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76F422D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6230CE4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69C8A3A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2ACD90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559F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09" w:type="dxa"/>
            <w:tcBorders>
              <w:tl2br w:val="nil"/>
              <w:tr2bl w:val="nil"/>
            </w:tcBorders>
            <w:shd w:val="clear" w:color="auto" w:fill="FFFFFF"/>
            <w:noWrap w:val="0"/>
            <w:vAlign w:val="center"/>
          </w:tcPr>
          <w:p w14:paraId="61180C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700" w:type="dxa"/>
            <w:tcBorders>
              <w:tl2br w:val="nil"/>
              <w:tr2bl w:val="nil"/>
            </w:tcBorders>
            <w:shd w:val="clear" w:color="auto" w:fill="FFFFFF"/>
            <w:noWrap w:val="0"/>
            <w:vAlign w:val="center"/>
          </w:tcPr>
          <w:p w14:paraId="0F46B6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防火阀</w:t>
            </w:r>
          </w:p>
        </w:tc>
        <w:tc>
          <w:tcPr>
            <w:tcW w:w="1062" w:type="dxa"/>
            <w:tcBorders>
              <w:tl2br w:val="nil"/>
              <w:tr2bl w:val="nil"/>
            </w:tcBorders>
            <w:shd w:val="clear" w:color="auto" w:fill="FFFFFF"/>
            <w:noWrap w:val="0"/>
            <w:vAlign w:val="center"/>
          </w:tcPr>
          <w:p w14:paraId="13FD8B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配套风管口径</w:t>
            </w:r>
          </w:p>
        </w:tc>
        <w:tc>
          <w:tcPr>
            <w:tcW w:w="3720" w:type="dxa"/>
            <w:tcBorders>
              <w:tl2br w:val="nil"/>
              <w:tr2bl w:val="nil"/>
            </w:tcBorders>
            <w:shd w:val="clear" w:color="auto" w:fill="FFFFFF"/>
            <w:noWrap w:val="0"/>
            <w:vAlign w:val="center"/>
          </w:tcPr>
          <w:p w14:paraId="3BA99D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1．额定工作电压DC24V；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2．加厚镀锌钢板制作，表面防锈处理；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3．具备电动与手动控制功能；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4．150℃关闭</w:t>
            </w:r>
          </w:p>
        </w:tc>
        <w:tc>
          <w:tcPr>
            <w:tcW w:w="480" w:type="dxa"/>
            <w:tcBorders>
              <w:tl2br w:val="nil"/>
              <w:tr2bl w:val="nil"/>
            </w:tcBorders>
            <w:shd w:val="clear" w:color="auto" w:fill="FFFFFF"/>
            <w:noWrap w:val="0"/>
            <w:vAlign w:val="center"/>
          </w:tcPr>
          <w:p w14:paraId="7B0736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78CAC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510" w:type="dxa"/>
            <w:tcBorders>
              <w:tl2br w:val="nil"/>
              <w:tr2bl w:val="nil"/>
            </w:tcBorders>
            <w:shd w:val="clear" w:color="auto" w:fill="FFFFFF"/>
            <w:noWrap w:val="0"/>
            <w:vAlign w:val="center"/>
          </w:tcPr>
          <w:p w14:paraId="4D6B7F1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779F7D8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140AE2B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w:t>
            </w:r>
          </w:p>
          <w:p w14:paraId="33E0278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二层</w:t>
            </w:r>
          </w:p>
          <w:p w14:paraId="3C9CCB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tc>
      </w:tr>
      <w:tr w14:paraId="2F88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09" w:type="dxa"/>
            <w:tcBorders>
              <w:tl2br w:val="nil"/>
              <w:tr2bl w:val="nil"/>
            </w:tcBorders>
            <w:shd w:val="clear" w:color="auto" w:fill="FFFFFF"/>
            <w:noWrap w:val="0"/>
            <w:vAlign w:val="center"/>
          </w:tcPr>
          <w:p w14:paraId="7575F7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700" w:type="dxa"/>
            <w:tcBorders>
              <w:tl2br w:val="nil"/>
              <w:tr2bl w:val="nil"/>
            </w:tcBorders>
            <w:shd w:val="clear" w:color="auto" w:fill="FFFFFF"/>
            <w:noWrap w:val="0"/>
            <w:vAlign w:val="center"/>
          </w:tcPr>
          <w:p w14:paraId="4DFBEB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安装辅料配套排烟系统</w:t>
            </w:r>
          </w:p>
        </w:tc>
        <w:tc>
          <w:tcPr>
            <w:tcW w:w="1062" w:type="dxa"/>
            <w:tcBorders>
              <w:tl2br w:val="nil"/>
              <w:tr2bl w:val="nil"/>
            </w:tcBorders>
            <w:shd w:val="clear" w:color="auto" w:fill="FFFFFF"/>
            <w:noWrap w:val="0"/>
            <w:vAlign w:val="center"/>
          </w:tcPr>
          <w:p w14:paraId="40497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720" w:type="dxa"/>
            <w:tcBorders>
              <w:tl2br w:val="nil"/>
              <w:tr2bl w:val="nil"/>
            </w:tcBorders>
            <w:shd w:val="clear" w:color="auto" w:fill="FFFFFF"/>
            <w:noWrap w:val="0"/>
            <w:vAlign w:val="center"/>
          </w:tcPr>
          <w:p w14:paraId="657E0CF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1.用于安装的角码、钩码、密封胶及密封垫；                                                                                                                                                                                2.安装的</w:t>
            </w:r>
            <w:r>
              <w:rPr>
                <w:rFonts w:hint="eastAsia" w:asciiTheme="minorEastAsia" w:hAnsiTheme="minorEastAsia" w:cstheme="minorEastAsia"/>
                <w:i w:val="0"/>
                <w:iCs w:val="0"/>
                <w:color w:val="auto"/>
                <w:kern w:val="0"/>
                <w:sz w:val="21"/>
                <w:szCs w:val="21"/>
                <w:highlight w:val="none"/>
                <w:u w:val="none"/>
                <w:lang w:val="en-US" w:eastAsia="zh-CN" w:bidi="ar"/>
              </w:rPr>
              <w:t>不锈钢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吊装支吊架。</w:t>
            </w:r>
          </w:p>
        </w:tc>
        <w:tc>
          <w:tcPr>
            <w:tcW w:w="480" w:type="dxa"/>
            <w:tcBorders>
              <w:tl2br w:val="nil"/>
              <w:tr2bl w:val="nil"/>
            </w:tcBorders>
            <w:shd w:val="clear" w:color="auto" w:fill="FFFFFF"/>
            <w:noWrap w:val="0"/>
            <w:vAlign w:val="center"/>
          </w:tcPr>
          <w:p w14:paraId="528CDF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5887D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51E16BD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6806BC7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271DD33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27#食堂 一层；27#食堂 二层</w:t>
            </w:r>
          </w:p>
          <w:p w14:paraId="637B367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w:t>
            </w:r>
          </w:p>
          <w:p w14:paraId="410AED0E">
            <w:pPr>
              <w:pStyle w:val="2"/>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69CA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9094" w:type="dxa"/>
            <w:gridSpan w:val="9"/>
            <w:tcBorders>
              <w:tl2br w:val="nil"/>
              <w:tr2bl w:val="nil"/>
            </w:tcBorders>
            <w:shd w:val="clear" w:color="auto" w:fill="AEAAAA"/>
            <w:noWrap w:val="0"/>
            <w:vAlign w:val="center"/>
          </w:tcPr>
          <w:p w14:paraId="73B3C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28#食堂</w:t>
            </w:r>
          </w:p>
        </w:tc>
      </w:tr>
      <w:tr w14:paraId="0AC3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09" w:type="dxa"/>
            <w:tcBorders>
              <w:tl2br w:val="nil"/>
              <w:tr2bl w:val="nil"/>
            </w:tcBorders>
            <w:shd w:val="clear" w:color="auto" w:fill="FFFFFF"/>
            <w:noWrap w:val="0"/>
            <w:vAlign w:val="center"/>
          </w:tcPr>
          <w:p w14:paraId="24B3D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shd w:val="clear" w:color="auto" w:fill="FFFFFF"/>
            <w:noWrap w:val="0"/>
            <w:vAlign w:val="center"/>
          </w:tcPr>
          <w:p w14:paraId="28A9DB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集烟罩餐饮业油烟净化一体设备</w:t>
            </w:r>
          </w:p>
        </w:tc>
        <w:tc>
          <w:tcPr>
            <w:tcW w:w="1062" w:type="dxa"/>
            <w:tcBorders>
              <w:tl2br w:val="nil"/>
              <w:tr2bl w:val="nil"/>
            </w:tcBorders>
            <w:shd w:val="clear" w:color="auto" w:fill="FFFFFF"/>
            <w:noWrap w:val="0"/>
            <w:vAlign w:val="center"/>
          </w:tcPr>
          <w:p w14:paraId="338F60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≥2000mm*1300mm*990mm</w:t>
            </w:r>
          </w:p>
        </w:tc>
        <w:tc>
          <w:tcPr>
            <w:tcW w:w="3720" w:type="dxa"/>
            <w:tcBorders>
              <w:tl2br w:val="nil"/>
              <w:tr2bl w:val="nil"/>
            </w:tcBorders>
            <w:shd w:val="clear" w:color="auto" w:fill="FFFFFF"/>
            <w:noWrap w:val="0"/>
            <w:vAlign w:val="center"/>
          </w:tcPr>
          <w:p w14:paraId="3CD8A86B">
            <w:pPr>
              <w:keepNext w:val="0"/>
              <w:keepLines w:val="0"/>
              <w:widowControl/>
              <w:suppressLineNumbers w:val="0"/>
              <w:jc w:val="left"/>
              <w:textAlignment w:val="auto"/>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1、尺寸：≥2000mm*1300mm*990mm；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2、处理风量：每米烟罩排烟量≥2000立方/小时；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3、电源三相五线制380V；功率： ≤3kw；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4、风口尺寸：≥450*450mm；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5、风口方向：可前、后、上三个方向调节安装出风口；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6、各单元独立组合式结构设计，组装式安装；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7、电源配置：双驱智能物联电源，智能检测电场的清洁情况。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8、产品结构：全不锈钢电场，极距≥25mm。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9、电场配置：不锈钢双高压电场，净化效率≥95%。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p>
        </w:tc>
        <w:tc>
          <w:tcPr>
            <w:tcW w:w="480" w:type="dxa"/>
            <w:tcBorders>
              <w:tl2br w:val="nil"/>
              <w:tr2bl w:val="nil"/>
            </w:tcBorders>
            <w:shd w:val="clear" w:color="auto" w:fill="FFFFFF"/>
            <w:noWrap w:val="0"/>
            <w:vAlign w:val="center"/>
          </w:tcPr>
          <w:p w14:paraId="2CB46A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11E80A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10" w:type="dxa"/>
            <w:tcBorders>
              <w:tl2br w:val="nil"/>
              <w:tr2bl w:val="nil"/>
            </w:tcBorders>
            <w:shd w:val="clear" w:color="auto" w:fill="FFFFFF"/>
            <w:noWrap w:val="0"/>
            <w:vAlign w:val="center"/>
          </w:tcPr>
          <w:p w14:paraId="1F84458E">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27E20862">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732691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28#一层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操作间1组</w:t>
            </w:r>
          </w:p>
        </w:tc>
      </w:tr>
      <w:tr w14:paraId="0D79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609" w:type="dxa"/>
            <w:tcBorders>
              <w:tl2br w:val="nil"/>
              <w:tr2bl w:val="nil"/>
            </w:tcBorders>
            <w:shd w:val="clear" w:color="auto" w:fill="FFFFFF"/>
            <w:noWrap w:val="0"/>
            <w:vAlign w:val="center"/>
          </w:tcPr>
          <w:p w14:paraId="2B2DB2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l2br w:val="nil"/>
              <w:tr2bl w:val="nil"/>
            </w:tcBorders>
            <w:shd w:val="clear" w:color="auto" w:fill="FFFFFF"/>
            <w:noWrap w:val="0"/>
            <w:vAlign w:val="center"/>
          </w:tcPr>
          <w:p w14:paraId="382F5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集烟罩餐饮业油烟净化一体设备</w:t>
            </w:r>
          </w:p>
        </w:tc>
        <w:tc>
          <w:tcPr>
            <w:tcW w:w="1062" w:type="dxa"/>
            <w:tcBorders>
              <w:tl2br w:val="nil"/>
              <w:tr2bl w:val="nil"/>
            </w:tcBorders>
            <w:shd w:val="clear" w:color="auto" w:fill="FFFFFF"/>
            <w:noWrap w:val="0"/>
            <w:vAlign w:val="center"/>
          </w:tcPr>
          <w:p w14:paraId="2B440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≥2200mm*1300mm*990mm</w:t>
            </w:r>
          </w:p>
        </w:tc>
        <w:tc>
          <w:tcPr>
            <w:tcW w:w="3720" w:type="dxa"/>
            <w:tcBorders>
              <w:tl2br w:val="nil"/>
              <w:tr2bl w:val="nil"/>
            </w:tcBorders>
            <w:shd w:val="clear" w:color="auto" w:fill="FFFFFF"/>
            <w:noWrap w:val="0"/>
            <w:vAlign w:val="center"/>
          </w:tcPr>
          <w:p w14:paraId="00FBC010">
            <w:pPr>
              <w:keepNext w:val="0"/>
              <w:keepLines w:val="0"/>
              <w:widowControl/>
              <w:suppressLineNumbers w:val="0"/>
              <w:jc w:val="left"/>
              <w:textAlignment w:val="auto"/>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1、尺寸：≥2000mm*1300mm*990mm；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2、处理风量：每米烟罩排烟量≥2000立方/小时；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3、电源三相五线制380V；功率： ≤3kw；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4、风口尺寸：≥450*450mm；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5、风口方向：可前、后、上三个方向调节安装出风口；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6、各单元独立组合式结构设计，组装式安装；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7、电源配置：双驱智能物联电源，智能检测电场的清洁情况；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8、产品结构：全不锈钢电场，极距≥25mm；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9、电场配置：不锈钢双高压电场，净化效率≥95%；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10、设备具有环境标志(Ⅱ型)</w:t>
            </w:r>
            <w:r>
              <w:rPr>
                <w:rFonts w:hint="eastAsia" w:asciiTheme="minorEastAsia" w:hAnsiTheme="minorEastAsia" w:cstheme="minorEastAsia"/>
                <w:i w:val="0"/>
                <w:iCs w:val="0"/>
                <w:color w:val="auto"/>
                <w:kern w:val="0"/>
                <w:sz w:val="21"/>
                <w:szCs w:val="21"/>
                <w:highlight w:val="none"/>
                <w:u w:val="none"/>
                <w:lang w:val="en-US" w:eastAsia="zh-CN" w:bidi="ar"/>
              </w:rPr>
              <w:t>产品认证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证书，且证书需体现出油烟净化效率均≥95%，油烟排放浓度≤0.4mg/m³，颗粒物排放浓度≤1.5 mg/m³， 非甲烷排放浓度≤2.</w:t>
            </w:r>
            <w:r>
              <w:rPr>
                <w:rFonts w:hint="eastAsia" w:asciiTheme="minorEastAsia" w:hAnsiTheme="minorEastAsia" w:cstheme="minorEastAsia"/>
                <w:i w:val="0"/>
                <w:iCs w:val="0"/>
                <w:color w:val="auto"/>
                <w:kern w:val="0"/>
                <w:sz w:val="21"/>
                <w:szCs w:val="21"/>
                <w:highlight w:val="none"/>
                <w:u w:val="none"/>
                <w:lang w:val="en-US" w:eastAsia="zh-CN" w:bidi="ar"/>
              </w:rPr>
              <w:t>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mg/m³；符合GB/T6461-2002，GB/T10125-2021《产品防腐蚀等级认证》要求防腐蚀性能评级：10级产品防腐蚀等级认证证书。</w:t>
            </w:r>
          </w:p>
        </w:tc>
        <w:tc>
          <w:tcPr>
            <w:tcW w:w="480" w:type="dxa"/>
            <w:tcBorders>
              <w:tl2br w:val="nil"/>
              <w:tr2bl w:val="nil"/>
            </w:tcBorders>
            <w:shd w:val="clear" w:color="auto" w:fill="FFFFFF"/>
            <w:noWrap w:val="0"/>
            <w:vAlign w:val="center"/>
          </w:tcPr>
          <w:p w14:paraId="12A69D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385F2B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w:t>
            </w:r>
          </w:p>
        </w:tc>
        <w:tc>
          <w:tcPr>
            <w:tcW w:w="510" w:type="dxa"/>
            <w:tcBorders>
              <w:tl2br w:val="nil"/>
              <w:tr2bl w:val="nil"/>
            </w:tcBorders>
            <w:shd w:val="clear" w:color="auto" w:fill="FFFFFF"/>
            <w:noWrap w:val="0"/>
            <w:vAlign w:val="center"/>
          </w:tcPr>
          <w:p w14:paraId="6AE851B3">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7381A71B">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1A2C5C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操作间6组；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面点区3组；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操作间6组；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面点区3组</w:t>
            </w:r>
          </w:p>
        </w:tc>
      </w:tr>
      <w:tr w14:paraId="2F9E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09" w:type="dxa"/>
            <w:tcBorders>
              <w:tl2br w:val="nil"/>
              <w:tr2bl w:val="nil"/>
            </w:tcBorders>
            <w:shd w:val="clear" w:color="auto" w:fill="FFFFFF"/>
            <w:noWrap w:val="0"/>
            <w:vAlign w:val="center"/>
          </w:tcPr>
          <w:p w14:paraId="15D9FC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700" w:type="dxa"/>
            <w:tcBorders>
              <w:tl2br w:val="nil"/>
              <w:tr2bl w:val="nil"/>
            </w:tcBorders>
            <w:shd w:val="clear" w:color="auto" w:fill="FFFFFF"/>
            <w:noWrap w:val="0"/>
            <w:vAlign w:val="center"/>
          </w:tcPr>
          <w:p w14:paraId="50A068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5F6649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≥15200mm*H</w:t>
            </w:r>
          </w:p>
        </w:tc>
        <w:tc>
          <w:tcPr>
            <w:tcW w:w="3720" w:type="dxa"/>
            <w:tcBorders>
              <w:tl2br w:val="nil"/>
              <w:tr2bl w:val="nil"/>
            </w:tcBorders>
            <w:shd w:val="clear" w:color="auto" w:fill="FFFFFF"/>
            <w:noWrap w:val="0"/>
            <w:vAlign w:val="center"/>
          </w:tcPr>
          <w:p w14:paraId="1C1081E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w:t>
            </w:r>
            <w:r>
              <w:rPr>
                <w:rFonts w:hint="eastAsia" w:asciiTheme="minorEastAsia" w:hAnsiTheme="minorEastAsia" w:cstheme="minorEastAsia"/>
                <w:i w:val="0"/>
                <w:iCs w:val="0"/>
                <w:color w:val="auto"/>
                <w:kern w:val="0"/>
                <w:sz w:val="21"/>
                <w:szCs w:val="21"/>
                <w:highlight w:val="none"/>
                <w:u w:val="none"/>
                <w:lang w:val="en-US" w:eastAsia="zh-CN" w:bidi="ar"/>
              </w:rPr>
              <w:t>15200mm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3D6369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7D635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7CFF75F4">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12E8D62A">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55FEF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操作间1套；</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操作间1套</w:t>
            </w:r>
          </w:p>
        </w:tc>
      </w:tr>
      <w:tr w14:paraId="77AC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609" w:type="dxa"/>
            <w:tcBorders>
              <w:tl2br w:val="nil"/>
              <w:tr2bl w:val="nil"/>
            </w:tcBorders>
            <w:shd w:val="clear" w:color="auto" w:fill="FFFFFF"/>
            <w:noWrap w:val="0"/>
            <w:vAlign w:val="center"/>
          </w:tcPr>
          <w:p w14:paraId="3D0DBD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700" w:type="dxa"/>
            <w:tcBorders>
              <w:tl2br w:val="nil"/>
              <w:tr2bl w:val="nil"/>
            </w:tcBorders>
            <w:shd w:val="clear" w:color="auto" w:fill="FFFFFF"/>
            <w:noWrap w:val="0"/>
            <w:vAlign w:val="center"/>
          </w:tcPr>
          <w:p w14:paraId="174E8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低噪音高压柜式风机</w:t>
            </w:r>
          </w:p>
        </w:tc>
        <w:tc>
          <w:tcPr>
            <w:tcW w:w="1062" w:type="dxa"/>
            <w:tcBorders>
              <w:tl2br w:val="nil"/>
              <w:tr2bl w:val="nil"/>
            </w:tcBorders>
            <w:shd w:val="clear" w:color="auto" w:fill="FFFFFF"/>
            <w:noWrap w:val="0"/>
            <w:vAlign w:val="center"/>
          </w:tcPr>
          <w:p w14:paraId="5D919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11KW及以上/380V</w:t>
            </w:r>
          </w:p>
        </w:tc>
        <w:tc>
          <w:tcPr>
            <w:tcW w:w="3720" w:type="dxa"/>
            <w:tcBorders>
              <w:tl2br w:val="nil"/>
              <w:tr2bl w:val="nil"/>
            </w:tcBorders>
            <w:shd w:val="clear" w:color="auto" w:fill="FFFFFF"/>
            <w:noWrap w:val="0"/>
            <w:vAlign w:val="center"/>
          </w:tcPr>
          <w:p w14:paraId="530DB0FF">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1.外壳采用 1.5mm 厚优质镀锌板（实厚≥1.45mm），顶底与柱子均为单块板材一体拆弯成型，无多段拼接缝隙；搭配超厚槽钢底脚，电机架与底部</w:t>
            </w:r>
            <w:r>
              <w:rPr>
                <w:rFonts w:hint="eastAsia" w:asciiTheme="minorEastAsia" w:hAnsiTheme="minorEastAsia" w:cstheme="minorEastAsia"/>
                <w:i w:val="0"/>
                <w:iCs w:val="0"/>
                <w:color w:val="auto"/>
                <w:kern w:val="0"/>
                <w:sz w:val="21"/>
                <w:szCs w:val="21"/>
                <w:highlight w:val="none"/>
                <w:u w:val="none"/>
                <w:lang w:val="en-US" w:eastAsia="zh-CN" w:bidi="ar"/>
              </w:rPr>
              <w:t>采用镀锌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槽钢、镀锌角铁；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2.顶底与法兰采用单张板材一体成型工艺；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3.外壳与框架采用拼接式结构，支持整机拆装；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4.排烟风机符合 GB/T 17625.7-2013标准要求；                                                                                                                                                                                          风机电机、风轮、壳体及轴承依据 GB 26572-2025《电器电子产品有害物质限制使用要求》的标准规定；</w:t>
            </w:r>
          </w:p>
          <w:p w14:paraId="3864050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5、所投产品具有产品合格检测报告。</w:t>
            </w:r>
          </w:p>
        </w:tc>
        <w:tc>
          <w:tcPr>
            <w:tcW w:w="480" w:type="dxa"/>
            <w:tcBorders>
              <w:tl2br w:val="nil"/>
              <w:tr2bl w:val="nil"/>
            </w:tcBorders>
            <w:shd w:val="clear" w:color="auto" w:fill="FFFFFF"/>
            <w:noWrap w:val="0"/>
            <w:vAlign w:val="center"/>
          </w:tcPr>
          <w:p w14:paraId="6EB02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3F818B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shd w:val="clear" w:color="auto" w:fill="FFFFFF"/>
            <w:noWrap w:val="0"/>
            <w:vAlign w:val="center"/>
          </w:tcPr>
          <w:p w14:paraId="4EED1B27">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6884A892">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79B9E2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操作间1台；</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蒸煮间1台；</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操作间1台；</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蒸煮区1台</w:t>
            </w:r>
          </w:p>
          <w:p w14:paraId="3A8E5497">
            <w:pPr>
              <w:pStyle w:val="2"/>
              <w:rPr>
                <w:rFonts w:hint="eastAsia" w:asciiTheme="minorEastAsia" w:hAnsiTheme="minorEastAsia" w:cstheme="minorEastAsia"/>
                <w:color w:val="auto"/>
                <w:highlight w:val="none"/>
              </w:rPr>
            </w:pPr>
          </w:p>
        </w:tc>
      </w:tr>
      <w:tr w14:paraId="5F78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09" w:type="dxa"/>
            <w:tcBorders>
              <w:tl2br w:val="nil"/>
              <w:tr2bl w:val="nil"/>
            </w:tcBorders>
            <w:shd w:val="clear" w:color="auto" w:fill="FFFFFF"/>
            <w:noWrap w:val="0"/>
            <w:vAlign w:val="center"/>
          </w:tcPr>
          <w:p w14:paraId="2E91B8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l2br w:val="nil"/>
              <w:tr2bl w:val="nil"/>
            </w:tcBorders>
            <w:shd w:val="clear" w:color="auto" w:fill="FFFFFF"/>
            <w:noWrap w:val="0"/>
            <w:vAlign w:val="center"/>
          </w:tcPr>
          <w:p w14:paraId="26D45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静电式餐饮业油烟净化设备</w:t>
            </w:r>
          </w:p>
        </w:tc>
        <w:tc>
          <w:tcPr>
            <w:tcW w:w="1062" w:type="dxa"/>
            <w:tcBorders>
              <w:tl2br w:val="nil"/>
              <w:tr2bl w:val="nil"/>
            </w:tcBorders>
            <w:shd w:val="clear" w:color="auto" w:fill="FFFFFF"/>
            <w:noWrap w:val="0"/>
            <w:vAlign w:val="center"/>
          </w:tcPr>
          <w:p w14:paraId="183BC7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≥40000风量</w:t>
            </w:r>
          </w:p>
        </w:tc>
        <w:tc>
          <w:tcPr>
            <w:tcW w:w="3720" w:type="dxa"/>
            <w:tcBorders>
              <w:tl2br w:val="nil"/>
              <w:tr2bl w:val="nil"/>
            </w:tcBorders>
            <w:shd w:val="clear" w:color="auto" w:fill="FFFFFF"/>
            <w:noWrap w:val="0"/>
            <w:vAlign w:val="center"/>
          </w:tcPr>
          <w:p w14:paraId="2E933ED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1、设备采用智能高压高数字电流，高低压双输出，智能自行调节电流大小，并可选择高效或智能运行模式，有数字显示屏，显示运行电流、故障代码；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2、设备外壳采用A3碳钢，外壳采用热固性纯聚酯粉末涂料喷涂处理，外壳厚度不低于1.0mm；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3、油烟净化器配置工作状态指示装置，提示设备运行的正常或故障状态。当电场极板油污达到一定厚度，电场工作电压降至临界点时，设备能自动报警，提示及时清理电场油污；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4、设备电场304不锈钢阴极、201不锈钢阳极</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防尘防水散热系统；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5、设备具有绿色环保产品认证证书；产品阻燃等级认证证书（A1）；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6、设备电源通过GB/T 2423.4-2008交变湿热（12h+12h循环）检测，结论为合格；电源温度循环测试符合GB/T2423.22-2012测试标准的要求，电源耐高低温范围在-40℃～100℃，循环测试50次后结构和功能正常；</w:t>
            </w:r>
          </w:p>
        </w:tc>
        <w:tc>
          <w:tcPr>
            <w:tcW w:w="480" w:type="dxa"/>
            <w:tcBorders>
              <w:tl2br w:val="nil"/>
              <w:tr2bl w:val="nil"/>
            </w:tcBorders>
            <w:shd w:val="clear" w:color="auto" w:fill="FFFFFF"/>
            <w:noWrap w:val="0"/>
            <w:vAlign w:val="center"/>
          </w:tcPr>
          <w:p w14:paraId="65B28E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3B9241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31B732C2">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768C6AAC">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11AB2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操作间1台；</w:t>
            </w:r>
          </w:p>
          <w:p w14:paraId="5B46DB0F">
            <w:pPr>
              <w:pStyle w:val="2"/>
              <w:ind w:left="0" w:leftChars="0" w:firstLine="0" w:firstLineChars="0"/>
              <w:rPr>
                <w:rFonts w:hint="eastAsia" w:asciiTheme="minorEastAsia" w:hAnsiTheme="minorEastAsia" w:cstheme="minorEastAsia"/>
                <w:color w:val="auto"/>
                <w:highlight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28#二层操作间1台</w:t>
            </w:r>
          </w:p>
        </w:tc>
      </w:tr>
      <w:tr w14:paraId="4604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609" w:type="dxa"/>
            <w:tcBorders>
              <w:tl2br w:val="nil"/>
              <w:tr2bl w:val="nil"/>
            </w:tcBorders>
            <w:shd w:val="clear" w:color="auto" w:fill="FFFFFF"/>
            <w:noWrap w:val="0"/>
            <w:vAlign w:val="center"/>
          </w:tcPr>
          <w:p w14:paraId="6FC65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00" w:type="dxa"/>
            <w:tcBorders>
              <w:tl2br w:val="nil"/>
              <w:tr2bl w:val="nil"/>
            </w:tcBorders>
            <w:shd w:val="clear" w:color="auto" w:fill="FFFFFF"/>
            <w:noWrap w:val="0"/>
            <w:vAlign w:val="center"/>
          </w:tcPr>
          <w:p w14:paraId="42DB33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组合式控制器</w:t>
            </w:r>
          </w:p>
        </w:tc>
        <w:tc>
          <w:tcPr>
            <w:tcW w:w="1062" w:type="dxa"/>
            <w:tcBorders>
              <w:tl2br w:val="nil"/>
              <w:tr2bl w:val="nil"/>
            </w:tcBorders>
            <w:shd w:val="clear" w:color="auto" w:fill="FFFFFF"/>
            <w:noWrap w:val="0"/>
            <w:vAlign w:val="center"/>
          </w:tcPr>
          <w:p w14:paraId="2C838D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风柜配套</w:t>
            </w:r>
          </w:p>
        </w:tc>
        <w:tc>
          <w:tcPr>
            <w:tcW w:w="3720" w:type="dxa"/>
            <w:tcBorders>
              <w:tl2br w:val="nil"/>
              <w:tr2bl w:val="nil"/>
            </w:tcBorders>
            <w:shd w:val="clear" w:color="auto" w:fill="FFFFFF"/>
            <w:noWrap w:val="0"/>
            <w:vAlign w:val="center"/>
          </w:tcPr>
          <w:p w14:paraId="7D89E38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1．规格：风机、油烟净化器配套；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2．采用电子元件及壳体；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3．控制柜内有一组独立电源控制油烟净化器启停；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4．该保护器具有缺相、过载、启动三重保护。</w:t>
            </w:r>
          </w:p>
        </w:tc>
        <w:tc>
          <w:tcPr>
            <w:tcW w:w="480" w:type="dxa"/>
            <w:tcBorders>
              <w:tl2br w:val="nil"/>
              <w:tr2bl w:val="nil"/>
            </w:tcBorders>
            <w:shd w:val="clear" w:color="auto" w:fill="FFFFFF"/>
            <w:noWrap w:val="0"/>
            <w:vAlign w:val="center"/>
          </w:tcPr>
          <w:p w14:paraId="2C803C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48007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1C5C92C6">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26950581">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6D4AD4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操作间1台；</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操作间2台</w:t>
            </w:r>
          </w:p>
        </w:tc>
      </w:tr>
      <w:tr w14:paraId="714F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609" w:type="dxa"/>
            <w:tcBorders>
              <w:tl2br w:val="nil"/>
              <w:tr2bl w:val="nil"/>
            </w:tcBorders>
            <w:shd w:val="clear" w:color="auto" w:fill="FFFFFF"/>
            <w:noWrap w:val="0"/>
            <w:vAlign w:val="center"/>
          </w:tcPr>
          <w:p w14:paraId="1129D5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700" w:type="dxa"/>
            <w:tcBorders>
              <w:tl2br w:val="nil"/>
              <w:tr2bl w:val="nil"/>
            </w:tcBorders>
            <w:shd w:val="clear" w:color="auto" w:fill="FFFFFF"/>
            <w:noWrap w:val="0"/>
            <w:vAlign w:val="center"/>
          </w:tcPr>
          <w:p w14:paraId="6359E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厨房智能变频控制器</w:t>
            </w:r>
          </w:p>
        </w:tc>
        <w:tc>
          <w:tcPr>
            <w:tcW w:w="1062" w:type="dxa"/>
            <w:tcBorders>
              <w:tl2br w:val="nil"/>
              <w:tr2bl w:val="nil"/>
            </w:tcBorders>
            <w:shd w:val="clear" w:color="auto" w:fill="FFFFFF"/>
            <w:noWrap w:val="0"/>
            <w:vAlign w:val="center"/>
          </w:tcPr>
          <w:p w14:paraId="34D3FF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风柜配套</w:t>
            </w:r>
          </w:p>
        </w:tc>
        <w:tc>
          <w:tcPr>
            <w:tcW w:w="3720" w:type="dxa"/>
            <w:tcBorders>
              <w:tl2br w:val="nil"/>
              <w:tr2bl w:val="nil"/>
            </w:tcBorders>
            <w:shd w:val="clear" w:color="auto" w:fill="FFFFFF"/>
            <w:noWrap w:val="0"/>
            <w:vAlign w:val="center"/>
          </w:tcPr>
          <w:p w14:paraId="5C13B7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1．规格：风机配套；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2．采用喷漆防静电配电箱；</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3．电路对电机起到短路</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缺相</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过载</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失压等保护作用；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4．用于风柜启停，具备启停控制功能，以及过载、过流保护功能，内置油烟净化器接线端子。</w:t>
            </w:r>
          </w:p>
        </w:tc>
        <w:tc>
          <w:tcPr>
            <w:tcW w:w="480" w:type="dxa"/>
            <w:tcBorders>
              <w:tl2br w:val="nil"/>
              <w:tr2bl w:val="nil"/>
            </w:tcBorders>
            <w:shd w:val="clear" w:color="auto" w:fill="FFFFFF"/>
            <w:noWrap w:val="0"/>
            <w:vAlign w:val="center"/>
          </w:tcPr>
          <w:p w14:paraId="1526A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shd w:val="clear" w:color="auto" w:fill="FFFFFF"/>
            <w:noWrap w:val="0"/>
            <w:vAlign w:val="center"/>
          </w:tcPr>
          <w:p w14:paraId="698C01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5BA06AC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32DF95F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7C19A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蒸煮间1台；</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蒸煮区1台</w:t>
            </w:r>
          </w:p>
        </w:tc>
      </w:tr>
      <w:tr w14:paraId="6E1C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609" w:type="dxa"/>
            <w:tcBorders>
              <w:tl2br w:val="nil"/>
              <w:tr2bl w:val="nil"/>
            </w:tcBorders>
            <w:shd w:val="clear" w:color="auto" w:fill="FFFFFF"/>
            <w:noWrap w:val="0"/>
            <w:vAlign w:val="center"/>
          </w:tcPr>
          <w:p w14:paraId="1D2EE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700" w:type="dxa"/>
            <w:tcBorders>
              <w:tl2br w:val="nil"/>
              <w:tr2bl w:val="nil"/>
            </w:tcBorders>
            <w:shd w:val="clear" w:color="auto" w:fill="FFFFFF"/>
            <w:noWrap w:val="0"/>
            <w:vAlign w:val="center"/>
          </w:tcPr>
          <w:p w14:paraId="177B1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不锈钢排烟风管、                                                                                                                                                                 弯头、三通等</w:t>
            </w:r>
          </w:p>
        </w:tc>
        <w:tc>
          <w:tcPr>
            <w:tcW w:w="1062" w:type="dxa"/>
            <w:tcBorders>
              <w:tl2br w:val="nil"/>
              <w:tr2bl w:val="nil"/>
            </w:tcBorders>
            <w:shd w:val="clear" w:color="auto" w:fill="FFFFFF"/>
            <w:noWrap w:val="0"/>
            <w:vAlign w:val="center"/>
          </w:tcPr>
          <w:p w14:paraId="246BB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720" w:type="dxa"/>
            <w:tcBorders>
              <w:tl2br w:val="nil"/>
              <w:tr2bl w:val="nil"/>
            </w:tcBorders>
            <w:shd w:val="clear" w:color="auto" w:fill="FFFFFF"/>
            <w:noWrap w:val="0"/>
            <w:vAlign w:val="center"/>
          </w:tcPr>
          <w:p w14:paraId="25067B0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1．采用不锈钢板制作；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2．烟管采用1.0mm厚的磨砂贴膜不锈钢板；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3．机制共板法兰，ACL压轧加强槽线；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4．风管大边长度大于等于1000mm,需增加管道加强，具体做法按图集要求。</w:t>
            </w:r>
          </w:p>
        </w:tc>
        <w:tc>
          <w:tcPr>
            <w:tcW w:w="480" w:type="dxa"/>
            <w:tcBorders>
              <w:tl2br w:val="nil"/>
              <w:tr2bl w:val="nil"/>
            </w:tcBorders>
            <w:shd w:val="clear" w:color="auto" w:fill="FFFFFF"/>
            <w:noWrap w:val="0"/>
            <w:vAlign w:val="center"/>
          </w:tcPr>
          <w:p w14:paraId="447CD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平方</w:t>
            </w:r>
          </w:p>
        </w:tc>
        <w:tc>
          <w:tcPr>
            <w:tcW w:w="525" w:type="dxa"/>
            <w:tcBorders>
              <w:tl2br w:val="nil"/>
              <w:tr2bl w:val="nil"/>
            </w:tcBorders>
            <w:shd w:val="clear" w:color="auto" w:fill="FFFFFF"/>
            <w:noWrap w:val="0"/>
            <w:vAlign w:val="center"/>
          </w:tcPr>
          <w:p w14:paraId="48E914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1400</w:t>
            </w:r>
          </w:p>
        </w:tc>
        <w:tc>
          <w:tcPr>
            <w:tcW w:w="510" w:type="dxa"/>
            <w:tcBorders>
              <w:tl2br w:val="nil"/>
              <w:tr2bl w:val="nil"/>
            </w:tcBorders>
            <w:shd w:val="clear" w:color="auto" w:fill="FFFFFF"/>
            <w:noWrap w:val="0"/>
            <w:vAlign w:val="center"/>
          </w:tcPr>
          <w:p w14:paraId="7D152D47">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134EEE1C">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29B5D1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操作间220平方；</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面点区620平方；</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面点区560平方</w:t>
            </w:r>
          </w:p>
        </w:tc>
      </w:tr>
      <w:tr w14:paraId="1BD5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09" w:type="dxa"/>
            <w:tcBorders>
              <w:tl2br w:val="nil"/>
              <w:tr2bl w:val="nil"/>
            </w:tcBorders>
            <w:shd w:val="clear" w:color="auto" w:fill="FFFFFF"/>
            <w:noWrap w:val="0"/>
            <w:vAlign w:val="center"/>
          </w:tcPr>
          <w:p w14:paraId="08D517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700" w:type="dxa"/>
            <w:tcBorders>
              <w:tl2br w:val="nil"/>
              <w:tr2bl w:val="nil"/>
            </w:tcBorders>
            <w:shd w:val="clear" w:color="auto" w:fill="FFFFFF"/>
            <w:noWrap w:val="0"/>
            <w:vAlign w:val="center"/>
          </w:tcPr>
          <w:p w14:paraId="06ACAD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防火阀</w:t>
            </w:r>
          </w:p>
        </w:tc>
        <w:tc>
          <w:tcPr>
            <w:tcW w:w="1062" w:type="dxa"/>
            <w:tcBorders>
              <w:tl2br w:val="nil"/>
              <w:tr2bl w:val="nil"/>
            </w:tcBorders>
            <w:shd w:val="clear" w:color="auto" w:fill="FFFFFF"/>
            <w:noWrap w:val="0"/>
            <w:vAlign w:val="center"/>
          </w:tcPr>
          <w:p w14:paraId="3F4A15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配套风管口径</w:t>
            </w:r>
          </w:p>
        </w:tc>
        <w:tc>
          <w:tcPr>
            <w:tcW w:w="3720" w:type="dxa"/>
            <w:tcBorders>
              <w:tl2br w:val="nil"/>
              <w:tr2bl w:val="nil"/>
            </w:tcBorders>
            <w:shd w:val="clear" w:color="auto" w:fill="FFFFFF"/>
            <w:noWrap w:val="0"/>
            <w:vAlign w:val="center"/>
          </w:tcPr>
          <w:p w14:paraId="6A9BD81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1．额定工作电压DC24V；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2．加厚镀锌钢板制作，表面防锈处理；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3．具备电动与手动控制功能；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4．150℃关闭。</w:t>
            </w:r>
          </w:p>
        </w:tc>
        <w:tc>
          <w:tcPr>
            <w:tcW w:w="480" w:type="dxa"/>
            <w:tcBorders>
              <w:tl2br w:val="nil"/>
              <w:tr2bl w:val="nil"/>
            </w:tcBorders>
            <w:shd w:val="clear" w:color="auto" w:fill="FFFFFF"/>
            <w:noWrap w:val="0"/>
            <w:vAlign w:val="center"/>
          </w:tcPr>
          <w:p w14:paraId="1A520A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77C4BB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c>
          <w:tcPr>
            <w:tcW w:w="510" w:type="dxa"/>
            <w:tcBorders>
              <w:tl2br w:val="nil"/>
              <w:tr2bl w:val="nil"/>
            </w:tcBorders>
            <w:shd w:val="clear" w:color="auto" w:fill="FFFFFF"/>
            <w:noWrap w:val="0"/>
            <w:vAlign w:val="center"/>
          </w:tcPr>
          <w:p w14:paraId="2868B902">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5DD15DAA">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49D37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操作间10套；</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操作间10套</w:t>
            </w:r>
          </w:p>
        </w:tc>
      </w:tr>
      <w:tr w14:paraId="4373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609" w:type="dxa"/>
            <w:tcBorders>
              <w:tl2br w:val="nil"/>
              <w:tr2bl w:val="nil"/>
            </w:tcBorders>
            <w:shd w:val="clear" w:color="auto" w:fill="FFFFFF"/>
            <w:noWrap w:val="0"/>
            <w:vAlign w:val="center"/>
          </w:tcPr>
          <w:p w14:paraId="5BF2A7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700" w:type="dxa"/>
            <w:tcBorders>
              <w:tl2br w:val="nil"/>
              <w:tr2bl w:val="nil"/>
            </w:tcBorders>
            <w:shd w:val="clear" w:color="auto" w:fill="FFFFFF"/>
            <w:noWrap w:val="0"/>
            <w:vAlign w:val="center"/>
          </w:tcPr>
          <w:p w14:paraId="527E55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油网烟罩</w:t>
            </w:r>
          </w:p>
        </w:tc>
        <w:tc>
          <w:tcPr>
            <w:tcW w:w="1062" w:type="dxa"/>
            <w:tcBorders>
              <w:tl2br w:val="nil"/>
              <w:tr2bl w:val="nil"/>
            </w:tcBorders>
            <w:shd w:val="clear" w:color="auto" w:fill="FFFFFF"/>
            <w:noWrap w:val="0"/>
            <w:vAlign w:val="center"/>
          </w:tcPr>
          <w:p w14:paraId="4CC92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≥6000mm*1200mm*500mm</w:t>
            </w:r>
          </w:p>
        </w:tc>
        <w:tc>
          <w:tcPr>
            <w:tcW w:w="3720" w:type="dxa"/>
            <w:tcBorders>
              <w:tl2br w:val="nil"/>
              <w:tr2bl w:val="nil"/>
            </w:tcBorders>
            <w:shd w:val="clear" w:color="auto" w:fill="FFFFFF"/>
            <w:noWrap w:val="0"/>
            <w:vAlign w:val="center"/>
          </w:tcPr>
          <w:p w14:paraId="55FC8A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1．规格尺寸：≥6000mm*1200mm*500mm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2．材质：采用不锈钢双面油墨拉丝，≥1.2mm材质。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3．集烟罩与净化主体可采用可翻转式结构设计。</w:t>
            </w:r>
          </w:p>
        </w:tc>
        <w:tc>
          <w:tcPr>
            <w:tcW w:w="480" w:type="dxa"/>
            <w:tcBorders>
              <w:tl2br w:val="nil"/>
              <w:tr2bl w:val="nil"/>
            </w:tcBorders>
            <w:shd w:val="clear" w:color="auto" w:fill="FFFFFF"/>
            <w:noWrap w:val="0"/>
            <w:vAlign w:val="center"/>
          </w:tcPr>
          <w:p w14:paraId="76C0FA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511A81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68D0A5AB">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2FAE2CC6">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11D0B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蒸煮区1组</w:t>
            </w:r>
          </w:p>
        </w:tc>
      </w:tr>
      <w:tr w14:paraId="1566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609" w:type="dxa"/>
            <w:tcBorders>
              <w:tl2br w:val="nil"/>
              <w:tr2bl w:val="nil"/>
            </w:tcBorders>
            <w:shd w:val="clear" w:color="auto" w:fill="FFFFFF"/>
            <w:noWrap w:val="0"/>
            <w:vAlign w:val="center"/>
          </w:tcPr>
          <w:p w14:paraId="72A48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700" w:type="dxa"/>
            <w:tcBorders>
              <w:tl2br w:val="nil"/>
              <w:tr2bl w:val="nil"/>
            </w:tcBorders>
            <w:shd w:val="clear" w:color="auto" w:fill="FFFFFF"/>
            <w:noWrap w:val="0"/>
            <w:vAlign w:val="center"/>
          </w:tcPr>
          <w:p w14:paraId="16C76D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油网烟罩</w:t>
            </w:r>
          </w:p>
        </w:tc>
        <w:tc>
          <w:tcPr>
            <w:tcW w:w="1062" w:type="dxa"/>
            <w:tcBorders>
              <w:tl2br w:val="nil"/>
              <w:tr2bl w:val="nil"/>
            </w:tcBorders>
            <w:shd w:val="clear" w:color="auto" w:fill="FFFFFF"/>
            <w:noWrap w:val="0"/>
            <w:vAlign w:val="center"/>
          </w:tcPr>
          <w:p w14:paraId="1FDA39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≥8800mm*1300mm*500mm</w:t>
            </w:r>
          </w:p>
        </w:tc>
        <w:tc>
          <w:tcPr>
            <w:tcW w:w="3720" w:type="dxa"/>
            <w:tcBorders>
              <w:tl2br w:val="nil"/>
              <w:tr2bl w:val="nil"/>
            </w:tcBorders>
            <w:shd w:val="clear" w:color="auto" w:fill="FFFFFF"/>
            <w:noWrap w:val="0"/>
            <w:vAlign w:val="center"/>
          </w:tcPr>
          <w:p w14:paraId="221BC9C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1．规格尺寸：≥8800mm*1300mm*500mm；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2．材质：采用不锈钢双面油墨拉丝，≥1.2mm材质；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3．集烟罩与净化主体可采用可翻转式结构设计。</w:t>
            </w:r>
          </w:p>
        </w:tc>
        <w:tc>
          <w:tcPr>
            <w:tcW w:w="480" w:type="dxa"/>
            <w:tcBorders>
              <w:tl2br w:val="nil"/>
              <w:tr2bl w:val="nil"/>
            </w:tcBorders>
            <w:shd w:val="clear" w:color="auto" w:fill="FFFFFF"/>
            <w:noWrap w:val="0"/>
            <w:vAlign w:val="center"/>
          </w:tcPr>
          <w:p w14:paraId="1331E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525" w:type="dxa"/>
            <w:tcBorders>
              <w:tl2br w:val="nil"/>
              <w:tr2bl w:val="nil"/>
            </w:tcBorders>
            <w:shd w:val="clear" w:color="auto" w:fill="FFFFFF"/>
            <w:noWrap w:val="0"/>
            <w:vAlign w:val="center"/>
          </w:tcPr>
          <w:p w14:paraId="79AD3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437E1AEF">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shd w:val="clear" w:color="auto" w:fill="FFFFFF"/>
            <w:noWrap/>
            <w:vAlign w:val="center"/>
          </w:tcPr>
          <w:p w14:paraId="56B54421">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shd w:val="clear" w:color="auto" w:fill="FFFFFF"/>
            <w:noWrap/>
            <w:vAlign w:val="center"/>
          </w:tcPr>
          <w:p w14:paraId="2912B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蒸煮间1组；</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蒸煮区1组</w:t>
            </w:r>
          </w:p>
        </w:tc>
      </w:tr>
      <w:tr w14:paraId="623C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09" w:type="dxa"/>
            <w:tcBorders>
              <w:tl2br w:val="nil"/>
              <w:tr2bl w:val="nil"/>
            </w:tcBorders>
            <w:shd w:val="clear" w:color="auto" w:fill="FFFFFF"/>
            <w:noWrap w:val="0"/>
            <w:vAlign w:val="center"/>
          </w:tcPr>
          <w:p w14:paraId="2DC205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700" w:type="dxa"/>
            <w:tcBorders>
              <w:tl2br w:val="nil"/>
              <w:tr2bl w:val="nil"/>
            </w:tcBorders>
            <w:shd w:val="clear" w:color="auto" w:fill="FFFFFF"/>
            <w:noWrap w:val="0"/>
            <w:vAlign w:val="center"/>
          </w:tcPr>
          <w:p w14:paraId="6F1425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7E2DD7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≥8400mm*H</w:t>
            </w:r>
          </w:p>
        </w:tc>
        <w:tc>
          <w:tcPr>
            <w:tcW w:w="3720" w:type="dxa"/>
            <w:tcBorders>
              <w:tl2br w:val="nil"/>
              <w:tr2bl w:val="nil"/>
            </w:tcBorders>
            <w:shd w:val="clear" w:color="auto" w:fill="FFFFFF"/>
            <w:noWrap w:val="0"/>
            <w:vAlign w:val="center"/>
          </w:tcPr>
          <w:p w14:paraId="54D13CA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1．规格尺寸：≥8400mm*H；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3B577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61787F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1711240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1CB9A0B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66581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蒸煮间1套；</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蒸煮区1套</w:t>
            </w:r>
          </w:p>
        </w:tc>
      </w:tr>
      <w:tr w14:paraId="1046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dxa"/>
            <w:tcBorders>
              <w:tl2br w:val="nil"/>
              <w:tr2bl w:val="nil"/>
            </w:tcBorders>
            <w:shd w:val="clear" w:color="auto" w:fill="FFFFFF"/>
            <w:noWrap w:val="0"/>
            <w:vAlign w:val="center"/>
          </w:tcPr>
          <w:p w14:paraId="63839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700" w:type="dxa"/>
            <w:tcBorders>
              <w:tl2br w:val="nil"/>
              <w:tr2bl w:val="nil"/>
            </w:tcBorders>
            <w:shd w:val="clear" w:color="auto" w:fill="FFFFFF"/>
            <w:noWrap w:val="0"/>
            <w:vAlign w:val="center"/>
          </w:tcPr>
          <w:p w14:paraId="0460F6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3AB7F5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≥9900mm*H</w:t>
            </w:r>
          </w:p>
        </w:tc>
        <w:tc>
          <w:tcPr>
            <w:tcW w:w="3720" w:type="dxa"/>
            <w:tcBorders>
              <w:tl2br w:val="nil"/>
              <w:tr2bl w:val="nil"/>
            </w:tcBorders>
            <w:shd w:val="clear" w:color="auto" w:fill="FFFFFF"/>
            <w:noWrap w:val="0"/>
            <w:vAlign w:val="center"/>
          </w:tcPr>
          <w:p w14:paraId="1F0F428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1．规格尺寸：≥9900mm*H；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48E3E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3F19B6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10" w:type="dxa"/>
            <w:tcBorders>
              <w:tl2br w:val="nil"/>
              <w:tr2bl w:val="nil"/>
            </w:tcBorders>
            <w:shd w:val="clear" w:color="auto" w:fill="FFFFFF"/>
            <w:noWrap w:val="0"/>
            <w:vAlign w:val="center"/>
          </w:tcPr>
          <w:p w14:paraId="124F265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129BB0C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30820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w:t>
            </w:r>
          </w:p>
        </w:tc>
      </w:tr>
      <w:tr w14:paraId="7866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09" w:type="dxa"/>
            <w:tcBorders>
              <w:tl2br w:val="nil"/>
              <w:tr2bl w:val="nil"/>
            </w:tcBorders>
            <w:shd w:val="clear" w:color="auto" w:fill="FFFFFF"/>
            <w:noWrap w:val="0"/>
            <w:vAlign w:val="center"/>
          </w:tcPr>
          <w:p w14:paraId="55941C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700" w:type="dxa"/>
            <w:tcBorders>
              <w:tl2br w:val="nil"/>
              <w:tr2bl w:val="nil"/>
            </w:tcBorders>
            <w:shd w:val="clear" w:color="auto" w:fill="FFFFFF"/>
            <w:noWrap w:val="0"/>
            <w:vAlign w:val="center"/>
          </w:tcPr>
          <w:p w14:paraId="2B2DCD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烟罩顶封板</w:t>
            </w:r>
          </w:p>
        </w:tc>
        <w:tc>
          <w:tcPr>
            <w:tcW w:w="1062" w:type="dxa"/>
            <w:tcBorders>
              <w:tl2br w:val="nil"/>
              <w:tr2bl w:val="nil"/>
            </w:tcBorders>
            <w:shd w:val="clear" w:color="auto" w:fill="FFFFFF"/>
            <w:noWrap w:val="0"/>
            <w:vAlign w:val="center"/>
          </w:tcPr>
          <w:p w14:paraId="691B1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≥6600mm*H</w:t>
            </w:r>
          </w:p>
        </w:tc>
        <w:tc>
          <w:tcPr>
            <w:tcW w:w="3720" w:type="dxa"/>
            <w:tcBorders>
              <w:tl2br w:val="nil"/>
              <w:tr2bl w:val="nil"/>
            </w:tcBorders>
            <w:shd w:val="clear" w:color="auto" w:fill="FFFFFF"/>
            <w:noWrap w:val="0"/>
            <w:vAlign w:val="center"/>
          </w:tcPr>
          <w:p w14:paraId="666F75C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1．规格尺寸：≥6600mm*H；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2．材质：不锈钢板制作，主材采用S30408厚度≥1.0mm不锈钢。</w:t>
            </w:r>
          </w:p>
        </w:tc>
        <w:tc>
          <w:tcPr>
            <w:tcW w:w="480" w:type="dxa"/>
            <w:tcBorders>
              <w:tl2br w:val="nil"/>
              <w:tr2bl w:val="nil"/>
            </w:tcBorders>
            <w:shd w:val="clear" w:color="auto" w:fill="FFFFFF"/>
            <w:noWrap w:val="0"/>
            <w:vAlign w:val="center"/>
          </w:tcPr>
          <w:p w14:paraId="259D3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157A62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32C97A3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78239F1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3E0AE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面点区1套；</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蒸煮区1套</w:t>
            </w:r>
          </w:p>
        </w:tc>
      </w:tr>
      <w:tr w14:paraId="34F3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609" w:type="dxa"/>
            <w:tcBorders>
              <w:tl2br w:val="nil"/>
              <w:tr2bl w:val="nil"/>
            </w:tcBorders>
            <w:shd w:val="clear" w:color="auto" w:fill="FFFFFF"/>
            <w:noWrap w:val="0"/>
            <w:vAlign w:val="center"/>
          </w:tcPr>
          <w:p w14:paraId="620EA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15</w:t>
            </w:r>
          </w:p>
        </w:tc>
        <w:tc>
          <w:tcPr>
            <w:tcW w:w="700" w:type="dxa"/>
            <w:tcBorders>
              <w:tl2br w:val="nil"/>
              <w:tr2bl w:val="nil"/>
            </w:tcBorders>
            <w:shd w:val="clear" w:color="auto" w:fill="FFFFFF"/>
            <w:noWrap w:val="0"/>
            <w:vAlign w:val="center"/>
          </w:tcPr>
          <w:p w14:paraId="36BAE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安装辅料配套排烟系统</w:t>
            </w:r>
          </w:p>
        </w:tc>
        <w:tc>
          <w:tcPr>
            <w:tcW w:w="1062" w:type="dxa"/>
            <w:tcBorders>
              <w:tl2br w:val="nil"/>
              <w:tr2bl w:val="nil"/>
            </w:tcBorders>
            <w:shd w:val="clear" w:color="auto" w:fill="FFFFFF"/>
            <w:noWrap w:val="0"/>
            <w:vAlign w:val="center"/>
          </w:tcPr>
          <w:p w14:paraId="48724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720" w:type="dxa"/>
            <w:tcBorders>
              <w:tl2br w:val="nil"/>
              <w:tr2bl w:val="nil"/>
            </w:tcBorders>
            <w:shd w:val="clear" w:color="auto" w:fill="FFFFFF"/>
            <w:noWrap w:val="0"/>
            <w:vAlign w:val="center"/>
          </w:tcPr>
          <w:p w14:paraId="4149E8A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1.用于安装的角码、钩码、密封胶及密封垫；                                                                                                                                                                                2.安装的吊装支吊架。</w:t>
            </w:r>
          </w:p>
        </w:tc>
        <w:tc>
          <w:tcPr>
            <w:tcW w:w="480" w:type="dxa"/>
            <w:tcBorders>
              <w:tl2br w:val="nil"/>
              <w:tr2bl w:val="nil"/>
            </w:tcBorders>
            <w:shd w:val="clear" w:color="auto" w:fill="FFFFFF"/>
            <w:noWrap w:val="0"/>
            <w:vAlign w:val="center"/>
          </w:tcPr>
          <w:p w14:paraId="0D7710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shd w:val="clear" w:color="auto" w:fill="FFFFFF"/>
            <w:noWrap w:val="0"/>
            <w:vAlign w:val="center"/>
          </w:tcPr>
          <w:p w14:paraId="4AC7E7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shd w:val="clear" w:color="auto" w:fill="FFFFFF"/>
            <w:noWrap w:val="0"/>
            <w:vAlign w:val="center"/>
          </w:tcPr>
          <w:p w14:paraId="0B67398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555" w:type="dxa"/>
            <w:tcBorders>
              <w:tl2br w:val="nil"/>
              <w:tr2bl w:val="nil"/>
            </w:tcBorders>
            <w:shd w:val="clear" w:color="auto" w:fill="FFFFFF"/>
            <w:noWrap/>
            <w:vAlign w:val="center"/>
          </w:tcPr>
          <w:p w14:paraId="296330B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933" w:type="dxa"/>
            <w:tcBorders>
              <w:tl2br w:val="nil"/>
              <w:tr2bl w:val="nil"/>
            </w:tcBorders>
            <w:shd w:val="clear" w:color="auto" w:fill="FFFFFF"/>
            <w:noWrap/>
            <w:vAlign w:val="center"/>
          </w:tcPr>
          <w:p w14:paraId="71DD4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28#一层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蒸煮间1套；</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28#二层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操作间1套</w:t>
            </w:r>
          </w:p>
        </w:tc>
      </w:tr>
      <w:tr w14:paraId="0153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94" w:type="dxa"/>
            <w:gridSpan w:val="9"/>
            <w:tcBorders>
              <w:tl2br w:val="nil"/>
              <w:tr2bl w:val="nil"/>
            </w:tcBorders>
            <w:noWrap w:val="0"/>
            <w:vAlign w:val="center"/>
          </w:tcPr>
          <w:p w14:paraId="31D421A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燃气炒灶</w:t>
            </w:r>
          </w:p>
        </w:tc>
      </w:tr>
      <w:tr w14:paraId="2177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09" w:type="dxa"/>
            <w:tcBorders>
              <w:tl2br w:val="nil"/>
              <w:tr2bl w:val="nil"/>
            </w:tcBorders>
            <w:noWrap w:val="0"/>
            <w:vAlign w:val="center"/>
          </w:tcPr>
          <w:p w14:paraId="2FD8F7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noWrap w:val="0"/>
            <w:vAlign w:val="center"/>
          </w:tcPr>
          <w:p w14:paraId="773020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炊用燃气大锅灶</w:t>
            </w:r>
          </w:p>
        </w:tc>
        <w:tc>
          <w:tcPr>
            <w:tcW w:w="1062" w:type="dxa"/>
            <w:tcBorders>
              <w:tl2br w:val="nil"/>
              <w:tr2bl w:val="nil"/>
            </w:tcBorders>
            <w:noWrap w:val="0"/>
            <w:vAlign w:val="center"/>
          </w:tcPr>
          <w:p w14:paraId="1B52CC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≥1000mm*1200mm*1200mm</w:t>
            </w:r>
          </w:p>
        </w:tc>
        <w:tc>
          <w:tcPr>
            <w:tcW w:w="3720" w:type="dxa"/>
            <w:tcBorders>
              <w:tl2br w:val="nil"/>
              <w:tr2bl w:val="nil"/>
            </w:tcBorders>
            <w:noWrap w:val="0"/>
            <w:vAlign w:val="center"/>
          </w:tcPr>
          <w:p w14:paraId="40CB93B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1、额定电压：AC220V-240V，额定频率：50/60Hz，额定热负荷：35kW，额定功率：55W，额定气压：2.0kPa，进气口：DN20，进水管：DN15，排水管：DN25；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2、优质SUS304-2B不锈钢板制造，面板、前脸板厚≥1.2mm,台面一次压制成型；外旁板、后立板板厚≥1.0mm,龙骨架国标不锈钢方管25*38厚≥1.2mm；衬板电解镀锌钢板厚≥1.2mm,灶身双层热轧钢板，隔热层厚</w:t>
            </w:r>
            <w:r>
              <w:rPr>
                <w:rFonts w:hint="eastAsia" w:asciiTheme="minorEastAsia" w:hAnsiTheme="minorEastAsia" w:cstheme="minorEastAsia"/>
                <w:i w:val="0"/>
                <w:iCs w:val="0"/>
                <w:color w:val="auto"/>
                <w:kern w:val="0"/>
                <w:sz w:val="21"/>
                <w:szCs w:val="21"/>
                <w:highlight w:val="none"/>
                <w:u w:val="none"/>
                <w:lang w:val="en-US" w:eastAsia="zh-CN" w:bidi="ar"/>
              </w:rPr>
              <w:t>40mm，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炉膛</w:t>
            </w:r>
            <w:r>
              <w:rPr>
                <w:rFonts w:hint="eastAsia" w:asciiTheme="minorEastAsia" w:hAnsiTheme="minorEastAsia" w:cstheme="minorEastAsia"/>
                <w:i w:val="0"/>
                <w:iCs w:val="0"/>
                <w:color w:val="auto"/>
                <w:kern w:val="0"/>
                <w:sz w:val="21"/>
                <w:szCs w:val="21"/>
                <w:highlight w:val="none"/>
                <w:u w:val="none"/>
                <w:lang w:val="en-US" w:eastAsia="zh-CN" w:bidi="ar"/>
              </w:rPr>
              <w:t>50mm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厚耐高温材料；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3、炉膛采用不锈钢合金材料，一次成型，厚度2.0内配稀土贵金属聚能网；配全预混式节能炉头，36V42W直流风机，一键启动；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4、产品符合GB35848-2024《商用燃气燃烧器具》要求；所投设备额定热负荷35KW，热效率74%以上；产品核心部件风机额定电压不高于36V，额定功率不高于45W；</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p w14:paraId="5738CB6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5、设备有故障代码提示功能</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流量统计</w:t>
            </w:r>
            <w:r>
              <w:rPr>
                <w:rFonts w:hint="eastAsia" w:asciiTheme="minorEastAsia" w:hAnsiTheme="minorEastAsia" w:cstheme="minorEastAsia"/>
                <w:i w:val="0"/>
                <w:iCs w:val="0"/>
                <w:color w:val="auto"/>
                <w:kern w:val="0"/>
                <w:sz w:val="21"/>
                <w:szCs w:val="21"/>
                <w:highlight w:val="none"/>
                <w:u w:val="none"/>
                <w:lang w:val="en-US" w:eastAsia="zh-CN" w:bidi="ar"/>
              </w:rPr>
              <w:t>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cstheme="minorEastAsia"/>
                <w:i w:val="0"/>
                <w:iCs w:val="0"/>
                <w:color w:val="auto"/>
                <w:kern w:val="0"/>
                <w:sz w:val="21"/>
                <w:szCs w:val="21"/>
                <w:highlight w:val="none"/>
                <w:u w:val="none"/>
                <w:lang w:val="en-US" w:eastAsia="zh-CN" w:bidi="ar"/>
              </w:rPr>
              <w:t>设定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每一档的流量值，通过软件自动计算出当天燃气耗气量，并能通过手机或控制面板查询）；风机功率调节及转速显示</w:t>
            </w:r>
            <w:r>
              <w:rPr>
                <w:rFonts w:hint="eastAsia" w:asciiTheme="minorEastAsia" w:hAnsiTheme="minorEastAsia" w:cstheme="minorEastAsia"/>
                <w:i w:val="0"/>
                <w:iCs w:val="0"/>
                <w:color w:val="auto"/>
                <w:kern w:val="0"/>
                <w:sz w:val="21"/>
                <w:szCs w:val="21"/>
                <w:highlight w:val="none"/>
                <w:u w:val="none"/>
                <w:lang w:val="en-US" w:eastAsia="zh-CN" w:bidi="ar"/>
              </w:rPr>
              <w:t>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（通过设定风机的</w:t>
            </w:r>
            <w:r>
              <w:rPr>
                <w:rFonts w:hint="eastAsia" w:asciiTheme="minorEastAsia" w:hAnsiTheme="minorEastAsia" w:cstheme="minorEastAsia"/>
                <w:i w:val="0"/>
                <w:iCs w:val="0"/>
                <w:color w:val="auto"/>
                <w:kern w:val="0"/>
                <w:sz w:val="21"/>
                <w:szCs w:val="21"/>
                <w:highlight w:val="none"/>
                <w:u w:val="none"/>
                <w:lang w:val="en-US" w:eastAsia="zh-CN" w:bidi="ar"/>
              </w:rPr>
              <w:t>转速</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数值，可自由调节每一档风机的功率，通过主板的风机模块检测风机转速数值，在显示屏或小程序上显示）。</w:t>
            </w:r>
          </w:p>
          <w:p w14:paraId="7431B53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6、所投产品具有中国国家强制性产品认证证书，提供证书扫描件。</w:t>
            </w:r>
          </w:p>
        </w:tc>
        <w:tc>
          <w:tcPr>
            <w:tcW w:w="480" w:type="dxa"/>
            <w:tcBorders>
              <w:tl2br w:val="nil"/>
              <w:tr2bl w:val="nil"/>
            </w:tcBorders>
            <w:noWrap w:val="0"/>
            <w:vAlign w:val="center"/>
          </w:tcPr>
          <w:p w14:paraId="2120E4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noWrap w:val="0"/>
            <w:vAlign w:val="center"/>
          </w:tcPr>
          <w:p w14:paraId="566FAD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510" w:type="dxa"/>
            <w:tcBorders>
              <w:tl2br w:val="nil"/>
              <w:tr2bl w:val="nil"/>
            </w:tcBorders>
            <w:noWrap w:val="0"/>
            <w:vAlign w:val="center"/>
          </w:tcPr>
          <w:p w14:paraId="672EE65E">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3B66212F">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6D00A9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8台          28#   8台</w:t>
            </w:r>
          </w:p>
        </w:tc>
      </w:tr>
      <w:tr w14:paraId="1287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609" w:type="dxa"/>
            <w:tcBorders>
              <w:tl2br w:val="nil"/>
              <w:tr2bl w:val="nil"/>
            </w:tcBorders>
            <w:noWrap w:val="0"/>
            <w:vAlign w:val="center"/>
          </w:tcPr>
          <w:p w14:paraId="6FA3CF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l2br w:val="nil"/>
              <w:tr2bl w:val="nil"/>
            </w:tcBorders>
            <w:noWrap w:val="0"/>
            <w:vAlign w:val="center"/>
          </w:tcPr>
          <w:p w14:paraId="33DC5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炊用燃气炒灶</w:t>
            </w:r>
          </w:p>
        </w:tc>
        <w:tc>
          <w:tcPr>
            <w:tcW w:w="1062" w:type="dxa"/>
            <w:tcBorders>
              <w:tl2br w:val="nil"/>
              <w:tr2bl w:val="nil"/>
            </w:tcBorders>
            <w:noWrap w:val="0"/>
            <w:vAlign w:val="center"/>
          </w:tcPr>
          <w:p w14:paraId="16F1D5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≥1800mm*1200mm*1200mm</w:t>
            </w:r>
          </w:p>
        </w:tc>
        <w:tc>
          <w:tcPr>
            <w:tcW w:w="3720" w:type="dxa"/>
            <w:tcBorders>
              <w:tl2br w:val="nil"/>
              <w:tr2bl w:val="nil"/>
            </w:tcBorders>
            <w:noWrap w:val="0"/>
            <w:vAlign w:val="center"/>
          </w:tcPr>
          <w:p w14:paraId="45B9633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1、额定电压：AC220V-240V，额定频率：50/60Hz，额定热负荷35kW*2，额定功率：55W*2，额定气压：2.0kPa，炉膛口径：350mm，进气口：DN20，排水管：DN25；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2、优质SUS304-2B不锈钢板制造，面板、前脸板厚≥1.2mm,台面一次压制成型；外旁板、后立板，板厚≥1.0mm,龙骨架国标不锈钢方管25*38厚0.8mm；衬板电解镀锌钢板厚≥1.5mm,灶身双层热轧钢板；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3、炉膛双层拉伸成型，内炉膛采购409不锈钢，厚度≥1.</w:t>
            </w:r>
            <w:r>
              <w:rPr>
                <w:rFonts w:hint="eastAsia" w:asciiTheme="minorEastAsia" w:hAnsiTheme="minorEastAsia" w:cstheme="minorEastAsia"/>
                <w:i w:val="0"/>
                <w:iCs w:val="0"/>
                <w:color w:val="auto"/>
                <w:kern w:val="0"/>
                <w:sz w:val="21"/>
                <w:szCs w:val="21"/>
                <w:highlight w:val="none"/>
                <w:u w:val="none"/>
                <w:lang w:val="en-US" w:eastAsia="zh-CN" w:bidi="ar"/>
              </w:rPr>
              <w:t>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外炉膛采用电解镀锌板，厚度≥1.</w:t>
            </w:r>
            <w:r>
              <w:rPr>
                <w:rFonts w:hint="eastAsia" w:asciiTheme="minorEastAsia" w:hAnsiTheme="minorEastAsia" w:cstheme="minorEastAsia"/>
                <w:i w:val="0"/>
                <w:iCs w:val="0"/>
                <w:color w:val="auto"/>
                <w:kern w:val="0"/>
                <w:sz w:val="21"/>
                <w:szCs w:val="21"/>
                <w:highlight w:val="none"/>
                <w:u w:val="none"/>
                <w:lang w:val="en-US" w:eastAsia="zh-CN" w:bidi="ar"/>
              </w:rPr>
              <w:t>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一次成型，内外炉膛中间采用≥40mm厚陶瓷纤维隔热棉耐高温材料；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4、内外炉圈采用铸铁材质，配置全预混式节能炉头，采用无刷直流风机 ，具备一键启动功能；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5、内配铸铁反射体及厚度2.</w:t>
            </w:r>
            <w:r>
              <w:rPr>
                <w:rFonts w:hint="eastAsia" w:asciiTheme="minorEastAsia" w:hAnsiTheme="minorEastAsia" w:cstheme="minorEastAsia"/>
                <w:i w:val="0"/>
                <w:iCs w:val="0"/>
                <w:color w:val="auto"/>
                <w:kern w:val="0"/>
                <w:sz w:val="21"/>
                <w:szCs w:val="21"/>
                <w:highlight w:val="none"/>
                <w:u w:val="none"/>
                <w:lang w:val="en-US" w:eastAsia="zh-CN" w:bidi="ar"/>
              </w:rPr>
              <w:t>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内配稀土贵金属聚能网；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6、产品符合GB35848-2024《商用燃气燃烧器具》，所投产品额定热负荷35KW*2，热负荷准确度±9%以内，能源合理利用效率54.7%以上；</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设备有主板保护功能：主板具有自动检测温度并保护功能，当温度大于设定值</w:t>
            </w:r>
            <w:r>
              <w:rPr>
                <w:rFonts w:hint="eastAsia" w:asciiTheme="minorEastAsia" w:hAnsiTheme="minorEastAsia" w:cstheme="minorEastAsia"/>
                <w:i w:val="0"/>
                <w:iCs w:val="0"/>
                <w:color w:val="auto"/>
                <w:kern w:val="0"/>
                <w:sz w:val="21"/>
                <w:szCs w:val="21"/>
                <w:highlight w:val="none"/>
                <w:u w:val="none"/>
                <w:lang w:val="en-US" w:eastAsia="zh-CN" w:bidi="ar"/>
              </w:rPr>
              <w:t>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切断气阀并报警，显示屏显示故障代码；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★8、所投产品具有中国国家强制性产品认证证书，提供证书扫描件。</w:t>
            </w:r>
          </w:p>
        </w:tc>
        <w:tc>
          <w:tcPr>
            <w:tcW w:w="480" w:type="dxa"/>
            <w:tcBorders>
              <w:tl2br w:val="nil"/>
              <w:tr2bl w:val="nil"/>
            </w:tcBorders>
            <w:noWrap w:val="0"/>
            <w:vAlign w:val="center"/>
          </w:tcPr>
          <w:p w14:paraId="7E935A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noWrap w:val="0"/>
            <w:vAlign w:val="center"/>
          </w:tcPr>
          <w:p w14:paraId="520976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095E9B67">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29E680C7">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02567F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2台         28#   2台</w:t>
            </w:r>
          </w:p>
        </w:tc>
      </w:tr>
      <w:tr w14:paraId="297E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094" w:type="dxa"/>
            <w:gridSpan w:val="9"/>
            <w:tcBorders>
              <w:tl2br w:val="nil"/>
              <w:tr2bl w:val="nil"/>
            </w:tcBorders>
            <w:noWrap w:val="0"/>
            <w:vAlign w:val="center"/>
          </w:tcPr>
          <w:p w14:paraId="4C8C7F5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燃 气 蒸  柜</w:t>
            </w:r>
          </w:p>
        </w:tc>
      </w:tr>
      <w:tr w14:paraId="5FCE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609" w:type="dxa"/>
            <w:tcBorders>
              <w:tl2br w:val="nil"/>
              <w:tr2bl w:val="nil"/>
            </w:tcBorders>
            <w:noWrap w:val="0"/>
            <w:vAlign w:val="center"/>
          </w:tcPr>
          <w:p w14:paraId="26337E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noWrap w:val="0"/>
            <w:vAlign w:val="center"/>
          </w:tcPr>
          <w:p w14:paraId="34DB98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燃气蒸箱</w:t>
            </w:r>
          </w:p>
        </w:tc>
        <w:tc>
          <w:tcPr>
            <w:tcW w:w="1062" w:type="dxa"/>
            <w:tcBorders>
              <w:tl2br w:val="nil"/>
              <w:tr2bl w:val="nil"/>
            </w:tcBorders>
            <w:noWrap w:val="0"/>
            <w:vAlign w:val="center"/>
          </w:tcPr>
          <w:p w14:paraId="0CE2B4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≥1150*950*1920mm</w:t>
            </w:r>
          </w:p>
        </w:tc>
        <w:tc>
          <w:tcPr>
            <w:tcW w:w="3720" w:type="dxa"/>
            <w:tcBorders>
              <w:tl2br w:val="nil"/>
              <w:tr2bl w:val="nil"/>
            </w:tcBorders>
            <w:noWrap w:val="0"/>
            <w:vAlign w:val="center"/>
          </w:tcPr>
          <w:p w14:paraId="64FC241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电压：AC220V-240V，额定频率：50/60Hz，额定热负荷：40KW，额定功率：55W，额定气压：2.0kPa，进气口：DN20，进水管：DN15，排水管：DN25；优质SUS304-2B不锈钢板制造，内胆板厚≥1.2；外旁板、门及后立板201、板厚≥1.0；不含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2.全新内燃式环保高效火排及全不锈钢水胆结构，防干烧功能；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3.设置常明火种，即时熄火保护设计；双联电磁阀分步控制，自动脉冲电子点火，两组燃气开关，</w:t>
            </w:r>
            <w:r>
              <w:rPr>
                <w:rFonts w:hint="eastAsia" w:asciiTheme="minorEastAsia" w:hAnsiTheme="minorEastAsia" w:cstheme="minorEastAsia"/>
                <w:i w:val="0"/>
                <w:iCs w:val="0"/>
                <w:color w:val="auto"/>
                <w:kern w:val="0"/>
                <w:sz w:val="21"/>
                <w:szCs w:val="21"/>
                <w:highlight w:val="none"/>
                <w:u w:val="none"/>
                <w:lang w:val="en-US" w:eastAsia="zh-CN" w:bidi="ar"/>
              </w:rPr>
              <w:t>无级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调速变频，火力大小数字可视化显示屏，故障代码显示；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4.水胆加玻璃纤维保温材料，防止热量散失；抽拉式层架设计，有锁轨道防止层架滑落；含水垢磁化管；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5、产品符合GB30531-2014《商用燃气灶具能效限定值及能效等级》，所投产品热效率≥95%；</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★6、所投产品具有中国国家强制性产品认证证书，提供证书扫描件。</w:t>
            </w:r>
          </w:p>
        </w:tc>
        <w:tc>
          <w:tcPr>
            <w:tcW w:w="480" w:type="dxa"/>
            <w:tcBorders>
              <w:tl2br w:val="nil"/>
              <w:tr2bl w:val="nil"/>
            </w:tcBorders>
            <w:noWrap w:val="0"/>
            <w:vAlign w:val="center"/>
          </w:tcPr>
          <w:p w14:paraId="6D1D0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noWrap w:val="0"/>
            <w:vAlign w:val="center"/>
          </w:tcPr>
          <w:p w14:paraId="200C3F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510" w:type="dxa"/>
            <w:tcBorders>
              <w:tl2br w:val="nil"/>
              <w:tr2bl w:val="nil"/>
            </w:tcBorders>
            <w:noWrap w:val="0"/>
            <w:vAlign w:val="center"/>
          </w:tcPr>
          <w:p w14:paraId="52FA0F3A">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6F82EF92">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780A2E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8台        28#   8台</w:t>
            </w:r>
          </w:p>
        </w:tc>
      </w:tr>
      <w:tr w14:paraId="3AEF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94" w:type="dxa"/>
            <w:gridSpan w:val="9"/>
            <w:tcBorders>
              <w:tl2br w:val="nil"/>
              <w:tr2bl w:val="nil"/>
            </w:tcBorders>
            <w:noWrap w:val="0"/>
            <w:vAlign w:val="center"/>
          </w:tcPr>
          <w:p w14:paraId="5990C0D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 xml:space="preserve">  消毒房</w:t>
            </w:r>
          </w:p>
        </w:tc>
      </w:tr>
      <w:tr w14:paraId="5A26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609" w:type="dxa"/>
            <w:tcBorders>
              <w:tl2br w:val="nil"/>
              <w:tr2bl w:val="nil"/>
            </w:tcBorders>
            <w:noWrap w:val="0"/>
            <w:vAlign w:val="center"/>
          </w:tcPr>
          <w:p w14:paraId="34BB7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l2br w:val="nil"/>
              <w:tr2bl w:val="nil"/>
            </w:tcBorders>
            <w:noWrap w:val="0"/>
            <w:vAlign w:val="center"/>
          </w:tcPr>
          <w:p w14:paraId="2BAF05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热风循环消毒</w:t>
            </w:r>
            <w:r>
              <w:rPr>
                <w:rFonts w:hint="eastAsia" w:asciiTheme="minorEastAsia" w:hAnsiTheme="minorEastAsia" w:cstheme="minorEastAsia"/>
                <w:i w:val="0"/>
                <w:iCs w:val="0"/>
                <w:color w:val="auto"/>
                <w:kern w:val="0"/>
                <w:sz w:val="21"/>
                <w:szCs w:val="21"/>
                <w:highlight w:val="none"/>
                <w:u w:val="none"/>
                <w:lang w:val="en-US" w:eastAsia="zh-CN" w:bidi="ar"/>
              </w:rPr>
              <w:t>库</w:t>
            </w:r>
          </w:p>
        </w:tc>
        <w:tc>
          <w:tcPr>
            <w:tcW w:w="1062" w:type="dxa"/>
            <w:tcBorders>
              <w:tl2br w:val="nil"/>
              <w:tr2bl w:val="nil"/>
            </w:tcBorders>
            <w:noWrap w:val="0"/>
            <w:vAlign w:val="center"/>
          </w:tcPr>
          <w:p w14:paraId="6B2A4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现场定制（尺寸：≥5200*3800*2500mm）</w:t>
            </w:r>
          </w:p>
        </w:tc>
        <w:tc>
          <w:tcPr>
            <w:tcW w:w="3720" w:type="dxa"/>
            <w:tcBorders>
              <w:tl2br w:val="nil"/>
              <w:tr2bl w:val="nil"/>
            </w:tcBorders>
            <w:noWrap w:val="0"/>
            <w:vAlign w:val="center"/>
          </w:tcPr>
          <w:p w14:paraId="5132BC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1、库体采用≥100mm厚，内外304双玻镁岩棉夹芯板；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2、手动平开门：304不锈钢内嵌双层钢化玻璃，可耐高温≥300</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3、水平循环管道热风对洗净的餐器具进行杀菌、消毒；                                                                                                                                                      4、集成电加热系统机组，焊接组装成集成模块，出厂测试完毕，现场拼装；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5、PLC智能控制程序，配触摸</w:t>
            </w:r>
            <w:r>
              <w:rPr>
                <w:rFonts w:hint="eastAsia" w:asciiTheme="minorEastAsia" w:hAnsiTheme="minorEastAsia" w:cstheme="minorEastAsia"/>
                <w:i w:val="0"/>
                <w:iCs w:val="0"/>
                <w:color w:val="auto"/>
                <w:kern w:val="0"/>
                <w:sz w:val="21"/>
                <w:szCs w:val="21"/>
                <w:highlight w:val="none"/>
                <w:u w:val="none"/>
                <w:lang w:val="en-US" w:eastAsia="zh-CN" w:bidi="ar"/>
              </w:rPr>
              <w:t>人机交互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液晶屏，控制程序针对温度、消毒保温时间及风机加热开关等进行控制，带高温保护防干烧保护功能；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6、消毒均衡、彻底：采用热风内循环技术，库体内温度均衡，且无死角；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7、环保安全：纯物理性消毒，不会产生有害的气体和异味；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8、产品具备125</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高温及360</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全方位无死角杀菌消毒能力；</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9、配备全自动智能化控制系统，省心、便捷、更安全；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10、用户可根据餐具类型对智能控制系统进行设置，后续操作一键完成；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11、配置UV紫外线消毒灯，增加餐具保管功能，二次消毒保管，消毒更彻底安全。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12、消毒库符合GB17988-2024《消毒产品检测方法》标准，对金黄色葡萄球菌金黄亚种 、单核增生李斯特氏菌、</w:t>
            </w:r>
            <w:r>
              <w:rPr>
                <w:rFonts w:hint="eastAsia" w:asciiTheme="minorEastAsia" w:hAnsiTheme="minorEastAsia" w:cstheme="minorEastAsia"/>
                <w:i w:val="0"/>
                <w:iCs w:val="0"/>
                <w:color w:val="auto"/>
                <w:kern w:val="0"/>
                <w:sz w:val="21"/>
                <w:szCs w:val="21"/>
                <w:highlight w:val="none"/>
                <w:u w:val="none"/>
                <w:lang w:val="en-US" w:eastAsia="zh-CN" w:bidi="ar"/>
              </w:rPr>
              <w:t>幽门螺杆菌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、黑曲霉、黄曲霉等菌种，灭杀率≥99.9%，提供由国家认可的第三方检测机构出具的带有CMA标识的合格检测报告。</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13、消毒后的餐饮具符合GB 14934-2016《食品安全国家标准 消毒餐（饮）具》标准，感官指标符合要求、大肠菌群、沙门氏菌、阴离子合成洗涤剂、游离氯检测合格。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14、消毒库依据GB</w:t>
            </w:r>
            <w:r>
              <w:rPr>
                <w:rFonts w:hint="eastAsia" w:asciiTheme="minorEastAsia" w:hAnsiTheme="minorEastAsia" w:cstheme="minorEastAsia"/>
                <w:i w:val="0"/>
                <w:iCs w:val="0"/>
                <w:color w:val="auto"/>
                <w:kern w:val="0"/>
                <w:sz w:val="21"/>
                <w:szCs w:val="21"/>
                <w:highlight w:val="none"/>
                <w:u w:val="none"/>
                <w:lang w:val="en-US" w:eastAsia="zh-CN" w:bidi="ar"/>
              </w:rPr>
              <w:t>/T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17988-2024标准，消毒效果微生物杀灭试验(大肠杆菌 8099)检测，杀灭对数值＞6.5，病毒灭活试验(脊髓灰质炎病毒)检测，灭活对数值≥6.5。</w:t>
            </w:r>
          </w:p>
        </w:tc>
        <w:tc>
          <w:tcPr>
            <w:tcW w:w="480" w:type="dxa"/>
            <w:tcBorders>
              <w:tl2br w:val="nil"/>
              <w:tr2bl w:val="nil"/>
            </w:tcBorders>
            <w:noWrap w:val="0"/>
            <w:vAlign w:val="center"/>
          </w:tcPr>
          <w:p w14:paraId="60C678D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noWrap w:val="0"/>
            <w:vAlign w:val="center"/>
          </w:tcPr>
          <w:p w14:paraId="4C587B0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2E0C0920">
            <w:pPr>
              <w:widowControl/>
              <w:jc w:val="left"/>
              <w:textAlignment w:val="center"/>
              <w:rPr>
                <w:rFonts w:hint="eastAsia" w:asciiTheme="minorEastAsia" w:hAnsiTheme="minorEastAsia" w:eastAsiaTheme="minorEastAsia" w:cstheme="minorEastAsia"/>
                <w:i w:val="0"/>
                <w:iCs w:val="0"/>
                <w:color w:val="auto"/>
                <w:kern w:val="0"/>
                <w:sz w:val="21"/>
                <w:szCs w:val="21"/>
                <w:highlight w:val="none"/>
                <w:u w:val="none"/>
                <w:lang w:bidi="ar"/>
              </w:rPr>
            </w:pPr>
          </w:p>
        </w:tc>
        <w:tc>
          <w:tcPr>
            <w:tcW w:w="555" w:type="dxa"/>
            <w:tcBorders>
              <w:tl2br w:val="nil"/>
              <w:tr2bl w:val="nil"/>
            </w:tcBorders>
            <w:noWrap w:val="0"/>
            <w:vAlign w:val="center"/>
          </w:tcPr>
          <w:p w14:paraId="385DE2FB">
            <w:pPr>
              <w:jc w:val="center"/>
              <w:rPr>
                <w:rFonts w:hint="eastAsia" w:asciiTheme="minorEastAsia" w:hAnsiTheme="minorEastAsia" w:eastAsiaTheme="minorEastAsia" w:cstheme="minorEastAsia"/>
                <w:i w:val="0"/>
                <w:iCs w:val="0"/>
                <w:color w:val="FF0000"/>
                <w:sz w:val="21"/>
                <w:szCs w:val="21"/>
                <w:highlight w:val="none"/>
                <w:u w:val="none"/>
              </w:rPr>
            </w:pPr>
          </w:p>
        </w:tc>
        <w:tc>
          <w:tcPr>
            <w:tcW w:w="933" w:type="dxa"/>
            <w:tcBorders>
              <w:tl2br w:val="nil"/>
              <w:tr2bl w:val="nil"/>
            </w:tcBorders>
            <w:noWrap w:val="0"/>
            <w:vAlign w:val="center"/>
          </w:tcPr>
          <w:p w14:paraId="1DCB11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两套   28#：   两套</w:t>
            </w:r>
          </w:p>
        </w:tc>
      </w:tr>
      <w:tr w14:paraId="6B17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9094" w:type="dxa"/>
            <w:gridSpan w:val="9"/>
            <w:tcBorders>
              <w:tl2br w:val="nil"/>
              <w:tr2bl w:val="nil"/>
            </w:tcBorders>
            <w:noWrap w:val="0"/>
            <w:vAlign w:val="center"/>
          </w:tcPr>
          <w:p w14:paraId="1CF9B40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冷库</w:t>
            </w:r>
          </w:p>
        </w:tc>
      </w:tr>
      <w:tr w14:paraId="5851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9" w:type="dxa"/>
            <w:tcBorders>
              <w:tl2br w:val="nil"/>
              <w:tr2bl w:val="nil"/>
            </w:tcBorders>
            <w:noWrap w:val="0"/>
            <w:vAlign w:val="center"/>
          </w:tcPr>
          <w:p w14:paraId="457DDA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noWrap w:val="0"/>
            <w:vAlign w:val="center"/>
          </w:tcPr>
          <w:p w14:paraId="1C6C70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高低温冷库</w:t>
            </w:r>
          </w:p>
        </w:tc>
        <w:tc>
          <w:tcPr>
            <w:tcW w:w="1062" w:type="dxa"/>
            <w:tcBorders>
              <w:tl2br w:val="nil"/>
              <w:tr2bl w:val="nil"/>
            </w:tcBorders>
            <w:noWrap w:val="0"/>
            <w:vAlign w:val="center"/>
          </w:tcPr>
          <w:p w14:paraId="7A9B6D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高低温库现场定制</w:t>
            </w:r>
          </w:p>
        </w:tc>
        <w:tc>
          <w:tcPr>
            <w:tcW w:w="3720" w:type="dxa"/>
            <w:tcBorders>
              <w:tl2br w:val="nil"/>
              <w:tr2bl w:val="nil"/>
            </w:tcBorders>
            <w:noWrap w:val="0"/>
            <w:vAlign w:val="center"/>
          </w:tcPr>
          <w:p w14:paraId="1625E50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1．冷库板材料选用双面≥0.6mm厚度不锈钢，保温层采用≥100mm厚度聚氨酯一次发泡成型，阻燃等级B1级。地板采用外≥0.6mm厚度不锈钢；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2．库门：尺寸约1900×840，半埋门或自动回归门。门框边设防冻发热线；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3．重型门铰、液压闭门器、库门拉手、内部安全锁；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4．电子显示温度表及冷库防雾灯连开关等；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5．内置温度记录仪，详细记录24小时冷库温度运转情况；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6．冷库板使用凹凸拼接并由镀锌金属偏心钩/锁固定，冷库板垂直面至少使用三组偏心钩/锁。冷库板水平面至少使用两组偏心钩/锁。；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7．库内温度：-5℃~+5℃/-10℃~-22℃。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8．采用压缩机组与冷风机，含报警防护系统。</w:t>
            </w:r>
          </w:p>
        </w:tc>
        <w:tc>
          <w:tcPr>
            <w:tcW w:w="480" w:type="dxa"/>
            <w:tcBorders>
              <w:tl2br w:val="nil"/>
              <w:tr2bl w:val="nil"/>
            </w:tcBorders>
            <w:noWrap w:val="0"/>
            <w:vAlign w:val="center"/>
          </w:tcPr>
          <w:p w14:paraId="4ABD2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noWrap w:val="0"/>
            <w:vAlign w:val="center"/>
          </w:tcPr>
          <w:p w14:paraId="340C0E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319219E5">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5C695E00">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43C1CA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3700*5800*2300  两套                         28#：5500*4000*2300  两套</w:t>
            </w:r>
          </w:p>
        </w:tc>
      </w:tr>
      <w:tr w14:paraId="3C5C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094" w:type="dxa"/>
            <w:gridSpan w:val="9"/>
            <w:tcBorders>
              <w:tl2br w:val="nil"/>
              <w:tr2bl w:val="nil"/>
            </w:tcBorders>
            <w:noWrap w:val="0"/>
            <w:vAlign w:val="center"/>
          </w:tcPr>
          <w:p w14:paraId="3BF386F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燃气报警设备系统</w:t>
            </w:r>
          </w:p>
        </w:tc>
      </w:tr>
      <w:tr w14:paraId="033C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609" w:type="dxa"/>
            <w:tcBorders>
              <w:tl2br w:val="nil"/>
              <w:tr2bl w:val="nil"/>
            </w:tcBorders>
            <w:noWrap w:val="0"/>
            <w:vAlign w:val="center"/>
          </w:tcPr>
          <w:p w14:paraId="732F7A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l2br w:val="nil"/>
              <w:tr2bl w:val="nil"/>
            </w:tcBorders>
            <w:noWrap w:val="0"/>
            <w:vAlign w:val="center"/>
          </w:tcPr>
          <w:p w14:paraId="0D1765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燃气报警设备</w:t>
            </w:r>
          </w:p>
        </w:tc>
        <w:tc>
          <w:tcPr>
            <w:tcW w:w="1062" w:type="dxa"/>
            <w:tcBorders>
              <w:tl2br w:val="nil"/>
              <w:tr2bl w:val="nil"/>
            </w:tcBorders>
            <w:noWrap w:val="0"/>
            <w:vAlign w:val="center"/>
          </w:tcPr>
          <w:p w14:paraId="3D370770">
            <w:pPr>
              <w:jc w:val="center"/>
              <w:rPr>
                <w:rFonts w:hint="eastAsia" w:asciiTheme="minorEastAsia" w:hAnsiTheme="minorEastAsia" w:eastAsiaTheme="minorEastAsia" w:cstheme="minorEastAsia"/>
                <w:i w:val="0"/>
                <w:iCs w:val="0"/>
                <w:color w:val="auto"/>
                <w:sz w:val="21"/>
                <w:szCs w:val="21"/>
                <w:highlight w:val="none"/>
                <w:u w:val="none"/>
              </w:rPr>
            </w:pPr>
          </w:p>
        </w:tc>
        <w:tc>
          <w:tcPr>
            <w:tcW w:w="3720" w:type="dxa"/>
            <w:tcBorders>
              <w:tl2br w:val="nil"/>
              <w:tr2bl w:val="nil"/>
            </w:tcBorders>
            <w:noWrap w:val="0"/>
            <w:vAlign w:val="center"/>
          </w:tcPr>
          <w:p w14:paraId="62735D18">
            <w:pPr>
              <w:keepNext w:val="0"/>
              <w:keepLines w:val="0"/>
              <w:widowControl/>
              <w:suppressLineNumbers w:val="0"/>
              <w:jc w:val="left"/>
              <w:textAlignment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1．12组监测感应器（相近即可），与燃气阀门关联，漏气报警自动切断；</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2．包含货物的生产(购买)、包装、运输及保险、装卸、保管、现场落地及二次搬运、安装、检测、验收、利润、安全生产责任保险费、增值税等完成购安的全部费用。</w:t>
            </w:r>
          </w:p>
        </w:tc>
        <w:tc>
          <w:tcPr>
            <w:tcW w:w="480" w:type="dxa"/>
            <w:tcBorders>
              <w:tl2br w:val="nil"/>
              <w:tr2bl w:val="nil"/>
            </w:tcBorders>
            <w:noWrap w:val="0"/>
            <w:vAlign w:val="center"/>
          </w:tcPr>
          <w:p w14:paraId="77E6EC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noWrap w:val="0"/>
            <w:vAlign w:val="center"/>
          </w:tcPr>
          <w:p w14:paraId="65B393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0E10675A">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29EB4BF5">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7DEE4C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两套   28#：   两套</w:t>
            </w:r>
          </w:p>
        </w:tc>
      </w:tr>
      <w:tr w14:paraId="1C00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609" w:type="dxa"/>
            <w:tcBorders>
              <w:tl2br w:val="nil"/>
              <w:tr2bl w:val="nil"/>
            </w:tcBorders>
            <w:noWrap w:val="0"/>
            <w:vAlign w:val="center"/>
          </w:tcPr>
          <w:p w14:paraId="2BE41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l2br w:val="nil"/>
              <w:tr2bl w:val="nil"/>
            </w:tcBorders>
            <w:noWrap w:val="0"/>
            <w:vAlign w:val="center"/>
          </w:tcPr>
          <w:p w14:paraId="4BD5DF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厨房设备灭火装置</w:t>
            </w:r>
          </w:p>
        </w:tc>
        <w:tc>
          <w:tcPr>
            <w:tcW w:w="1062" w:type="dxa"/>
            <w:tcBorders>
              <w:tl2br w:val="nil"/>
              <w:tr2bl w:val="nil"/>
            </w:tcBorders>
            <w:noWrap w:val="0"/>
            <w:vAlign w:val="center"/>
          </w:tcPr>
          <w:p w14:paraId="5BC93B51">
            <w:pPr>
              <w:jc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lang w:val="en-US" w:eastAsia="zh-CN"/>
              </w:rPr>
              <w:t>双瓶组</w:t>
            </w:r>
          </w:p>
        </w:tc>
        <w:tc>
          <w:tcPr>
            <w:tcW w:w="3720" w:type="dxa"/>
            <w:tcBorders>
              <w:tl2br w:val="nil"/>
              <w:tr2bl w:val="nil"/>
            </w:tcBorders>
            <w:noWrap w:val="0"/>
            <w:vAlign w:val="center"/>
          </w:tcPr>
          <w:p w14:paraId="49B056A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1、外观与标志：装置各构成部件应无明显加工缺陷或机械损伤，单瓶组有1瓶灭火剂，双瓶组有2瓶灭火剂；</w:t>
            </w:r>
          </w:p>
          <w:p w14:paraId="3A6EF69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2、主要温度参数：设备使用环境温度：4℃-55℃，灭火剂使用温度范围0℃-50℃，感温器动作温度182℃；</w:t>
            </w:r>
          </w:p>
          <w:p w14:paraId="0B7A9B5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3、使用电源：双电源工作备用电源连续工作时间不低于12h；</w:t>
            </w:r>
          </w:p>
          <w:p w14:paraId="5D3CAA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4、启动方式：自动启动、手动启动和机械应急启动三种 ；     </w:t>
            </w:r>
          </w:p>
          <w:p w14:paraId="438C3AB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5、灭火流程：当灶台油锅起火时，持续达到一定温度，感温器熔断，设备自动启动灭火，也可在火灾初期使用手动启动和机械应急启动灭火，灭火药剂喷射完成灭火后，水流联动阀启动洒水降温，防止复燃；</w:t>
            </w:r>
          </w:p>
          <w:p w14:paraId="36ED2A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主要参数：设备为CMDS型，减压阀进口压力11.0-13.8MPa,出口压力≥1.48MPa，氮气贮存容积≥2L，氮气充装压力≥12Mpa，有启动延迟功能，具备自身（包括探测、控制回路）故障报警显示功能，报警功能外部音响器件的声压级≥95.</w:t>
            </w:r>
            <w:r>
              <w:rPr>
                <w:rFonts w:hint="eastAsia" w:asciiTheme="minorEastAsia" w:hAnsiTheme="minorEastAsia" w:cstheme="minorEastAsia"/>
                <w:i w:val="0"/>
                <w:iCs w:val="0"/>
                <w:color w:val="auto"/>
                <w:kern w:val="0"/>
                <w:sz w:val="21"/>
                <w:szCs w:val="21"/>
                <w:highlight w:val="none"/>
                <w:u w:val="none"/>
                <w:lang w:val="en-US" w:eastAsia="zh-CN" w:bidi="ar"/>
              </w:rPr>
              <w:t>0dB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p w14:paraId="1BD3977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7、食用油灭火剂：食用油专用灭火药剂采用F类火灾水系灭火剂，并依据XF3007-2020灭火试验：（温度处理后）灭火时间≤60s,毒性实验：（温度处理前）鱼的死亡率0%，灭火药剂所用原材料均为食品级</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480" w:type="dxa"/>
            <w:tcBorders>
              <w:tl2br w:val="nil"/>
              <w:tr2bl w:val="nil"/>
            </w:tcBorders>
            <w:noWrap w:val="0"/>
            <w:vAlign w:val="center"/>
          </w:tcPr>
          <w:p w14:paraId="2147A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525" w:type="dxa"/>
            <w:tcBorders>
              <w:tl2br w:val="nil"/>
              <w:tr2bl w:val="nil"/>
            </w:tcBorders>
            <w:noWrap w:val="0"/>
            <w:vAlign w:val="center"/>
          </w:tcPr>
          <w:p w14:paraId="1CAF3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60F2F698">
            <w:pPr>
              <w:jc w:val="center"/>
              <w:rPr>
                <w:rFonts w:hint="eastAsia" w:asciiTheme="minorEastAsia" w:hAnsiTheme="minorEastAsia" w:eastAsiaTheme="minorEastAsia" w:cstheme="minorEastAsia"/>
                <w:i w:val="0"/>
                <w:iCs w:val="0"/>
                <w:color w:val="auto"/>
                <w:sz w:val="21"/>
                <w:szCs w:val="21"/>
                <w:highlight w:val="none"/>
                <w:u w:val="none"/>
              </w:rPr>
            </w:pPr>
          </w:p>
        </w:tc>
        <w:tc>
          <w:tcPr>
            <w:tcW w:w="555" w:type="dxa"/>
            <w:tcBorders>
              <w:tl2br w:val="nil"/>
              <w:tr2bl w:val="nil"/>
            </w:tcBorders>
            <w:noWrap w:val="0"/>
            <w:vAlign w:val="center"/>
          </w:tcPr>
          <w:p w14:paraId="5DDB6A7E">
            <w:pPr>
              <w:jc w:val="center"/>
              <w:rPr>
                <w:rFonts w:hint="eastAsia" w:asciiTheme="minorEastAsia" w:hAnsiTheme="minorEastAsia" w:eastAsiaTheme="minorEastAsia" w:cstheme="minorEastAsia"/>
                <w:i w:val="0"/>
                <w:iCs w:val="0"/>
                <w:color w:val="auto"/>
                <w:sz w:val="21"/>
                <w:szCs w:val="21"/>
                <w:highlight w:val="none"/>
                <w:u w:val="none"/>
              </w:rPr>
            </w:pPr>
          </w:p>
        </w:tc>
        <w:tc>
          <w:tcPr>
            <w:tcW w:w="933" w:type="dxa"/>
            <w:tcBorders>
              <w:tl2br w:val="nil"/>
              <w:tr2bl w:val="nil"/>
            </w:tcBorders>
            <w:noWrap w:val="0"/>
            <w:vAlign w:val="center"/>
          </w:tcPr>
          <w:p w14:paraId="088441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两套   28#：   两套</w:t>
            </w:r>
          </w:p>
        </w:tc>
      </w:tr>
      <w:tr w14:paraId="70EC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9094" w:type="dxa"/>
            <w:gridSpan w:val="9"/>
            <w:tcBorders>
              <w:tl2br w:val="nil"/>
              <w:tr2bl w:val="nil"/>
            </w:tcBorders>
            <w:noWrap w:val="0"/>
            <w:vAlign w:val="center"/>
          </w:tcPr>
          <w:p w14:paraId="717C68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其他设备</w:t>
            </w:r>
          </w:p>
        </w:tc>
      </w:tr>
      <w:tr w14:paraId="146E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609" w:type="dxa"/>
            <w:tcBorders>
              <w:tl2br w:val="nil"/>
              <w:tr2bl w:val="nil"/>
            </w:tcBorders>
            <w:noWrap w:val="0"/>
            <w:vAlign w:val="center"/>
          </w:tcPr>
          <w:p w14:paraId="24C69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700" w:type="dxa"/>
            <w:tcBorders>
              <w:tl2br w:val="nil"/>
              <w:tr2bl w:val="nil"/>
            </w:tcBorders>
            <w:noWrap w:val="0"/>
            <w:vAlign w:val="center"/>
          </w:tcPr>
          <w:p w14:paraId="156C0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洗碗机</w:t>
            </w:r>
          </w:p>
        </w:tc>
        <w:tc>
          <w:tcPr>
            <w:tcW w:w="1062" w:type="dxa"/>
            <w:tcBorders>
              <w:tl2br w:val="nil"/>
              <w:tr2bl w:val="nil"/>
            </w:tcBorders>
            <w:noWrap w:val="0"/>
            <w:vAlign w:val="center"/>
          </w:tcPr>
          <w:p w14:paraId="2D9AFA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4800*830*2150</w:t>
            </w:r>
          </w:p>
        </w:tc>
        <w:tc>
          <w:tcPr>
            <w:tcW w:w="3720" w:type="dxa"/>
            <w:tcBorders>
              <w:tl2br w:val="nil"/>
              <w:tr2bl w:val="nil"/>
            </w:tcBorders>
            <w:noWrap w:val="0"/>
            <w:vAlign w:val="center"/>
          </w:tcPr>
          <w:p w14:paraId="09B787C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1、功率参数：整机功率≤70.45kW（380V/50Hz）；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2、规格尺寸：整机规格≥4800*830*2150；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3、清洗空间：有效清洗尺寸≥620×460mm（宽×高）；</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4、清洗数量：2000-2500碟/小时；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5、整机材质：国标A级SUS304#不锈钢和紧固件，360°旋转全钢重力脚；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6、功能配置：（40-50℃）预洗模块+（50-60℃）主洗模块+（80-90℃）双漂洗模块+（90-110℃）烘干模块；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7、电控系统：ECU计算机微程序智能控制系统，三点式轻触操作，故障代码自动显示；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8、加热系统：整机全部采用SUS304# 不锈钢加热管；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9、清洗配置：SUS304# 不锈钢水泵，一体式冲压上5下4六孔喷臂管，全模具注塑接头组件，清理维护更便捷；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10、漂洗配置：双泵双漂洗，水泵前置高压驱动，保证喷淋高温消毒效果；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11、烘干配置：高性能多翼式离心风机，1700-4000prm强转速风力，分流聚拢风刀循环热风系统迅速烘干餐具；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●11、依据</w:t>
            </w:r>
            <w:r>
              <w:rPr>
                <w:rFonts w:hint="eastAsia" w:asciiTheme="minorEastAsia" w:hAnsiTheme="minorEastAsia" w:eastAsiaTheme="minorEastAsia" w:cstheme="minorEastAsia"/>
                <w:color w:val="auto"/>
                <w:kern w:val="0"/>
                <w:sz w:val="21"/>
                <w:szCs w:val="21"/>
                <w:highlight w:val="none"/>
                <w:u w:val="none"/>
                <w:lang w:val="en-US" w:eastAsia="zh-CN" w:bidi="ar"/>
              </w:rPr>
              <w:t>GB/T 5080.4-1985、GB/T 5080.7-1986标准，对洗碗机进行可靠性试验，要求试验方案：区间估计法可接受的平均无故障时间的倍数：1.1 MTTF≥900h时，试验结果判定为合格。</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p>
        </w:tc>
        <w:tc>
          <w:tcPr>
            <w:tcW w:w="480" w:type="dxa"/>
            <w:tcBorders>
              <w:tl2br w:val="nil"/>
              <w:tr2bl w:val="nil"/>
            </w:tcBorders>
            <w:noWrap w:val="0"/>
            <w:vAlign w:val="center"/>
          </w:tcPr>
          <w:p w14:paraId="02E063F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noWrap w:val="0"/>
            <w:vAlign w:val="center"/>
          </w:tcPr>
          <w:p w14:paraId="283851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10" w:type="dxa"/>
            <w:tcBorders>
              <w:tl2br w:val="nil"/>
              <w:tr2bl w:val="nil"/>
            </w:tcBorders>
            <w:noWrap w:val="0"/>
            <w:vAlign w:val="center"/>
          </w:tcPr>
          <w:p w14:paraId="6F09FC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555" w:type="dxa"/>
            <w:tcBorders>
              <w:tl2br w:val="nil"/>
              <w:tr2bl w:val="nil"/>
            </w:tcBorders>
            <w:noWrap w:val="0"/>
            <w:vAlign w:val="center"/>
          </w:tcPr>
          <w:p w14:paraId="114DFCE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933" w:type="dxa"/>
            <w:tcBorders>
              <w:tl2br w:val="nil"/>
              <w:tr2bl w:val="nil"/>
            </w:tcBorders>
            <w:noWrap w:val="0"/>
            <w:vAlign w:val="center"/>
          </w:tcPr>
          <w:p w14:paraId="4FC7E70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1台   28#：   1台</w:t>
            </w:r>
          </w:p>
        </w:tc>
      </w:tr>
      <w:tr w14:paraId="6924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609" w:type="dxa"/>
            <w:tcBorders>
              <w:tl2br w:val="nil"/>
              <w:tr2bl w:val="nil"/>
            </w:tcBorders>
            <w:noWrap w:val="0"/>
            <w:vAlign w:val="center"/>
          </w:tcPr>
          <w:p w14:paraId="73ED1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700" w:type="dxa"/>
            <w:tcBorders>
              <w:tl2br w:val="nil"/>
              <w:tr2bl w:val="nil"/>
            </w:tcBorders>
            <w:noWrap w:val="0"/>
            <w:vAlign w:val="center"/>
          </w:tcPr>
          <w:p w14:paraId="2B2AE88F">
            <w:pPr>
              <w:widowControl/>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cstheme="minorEastAsia"/>
                <w:color w:val="auto"/>
                <w:kern w:val="0"/>
                <w:sz w:val="21"/>
                <w:szCs w:val="21"/>
                <w:highlight w:val="none"/>
              </w:rPr>
              <w:t>食品留样柜</w:t>
            </w:r>
          </w:p>
        </w:tc>
        <w:tc>
          <w:tcPr>
            <w:tcW w:w="1062" w:type="dxa"/>
            <w:tcBorders>
              <w:tl2br w:val="nil"/>
              <w:tr2bl w:val="nil"/>
            </w:tcBorders>
            <w:noWrap w:val="0"/>
            <w:vAlign w:val="center"/>
          </w:tcPr>
          <w:p w14:paraId="5B6340D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600*740*1895</w:t>
            </w:r>
          </w:p>
        </w:tc>
        <w:tc>
          <w:tcPr>
            <w:tcW w:w="3720" w:type="dxa"/>
            <w:tcBorders>
              <w:tl2br w:val="nil"/>
              <w:tr2bl w:val="nil"/>
            </w:tcBorders>
            <w:noWrap w:val="0"/>
            <w:vAlign w:val="center"/>
          </w:tcPr>
          <w:p w14:paraId="2998641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1、电压：</w:t>
            </w:r>
            <w:r>
              <w:rPr>
                <w:rFonts w:hint="eastAsia" w:asciiTheme="minorEastAsia" w:hAnsiTheme="minorEastAsia" w:cstheme="minorEastAsia"/>
                <w:i w:val="0"/>
                <w:iCs w:val="0"/>
                <w:color w:val="auto"/>
                <w:kern w:val="0"/>
                <w:sz w:val="21"/>
                <w:szCs w:val="21"/>
                <w:highlight w:val="none"/>
                <w:u w:val="none"/>
                <w:lang w:val="en-US" w:eastAsia="zh-CN" w:bidi="ar"/>
              </w:rPr>
              <w:t>220V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功率≥0.22kw  容量≥冷藏容积 428L 制冷方式： 直冷温度范围：保鲜'+0℃～-10℃；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2、采用独立机组</w:t>
            </w:r>
            <w:r>
              <w:rPr>
                <w:rFonts w:hint="eastAsia" w:asciiTheme="minorEastAsia" w:hAnsiTheme="minorEastAsia" w:cstheme="minorEastAsia"/>
                <w:i w:val="0"/>
                <w:iCs w:val="0"/>
                <w:color w:val="auto"/>
                <w:kern w:val="0"/>
                <w:sz w:val="21"/>
                <w:szCs w:val="21"/>
                <w:highlight w:val="none"/>
                <w:u w:val="none"/>
                <w:lang w:val="en-US" w:eastAsia="zh-CN" w:bidi="ar"/>
              </w:rPr>
              <w:t>、双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压缩机</w:t>
            </w:r>
            <w:r>
              <w:rPr>
                <w:rFonts w:hint="eastAsia" w:asciiTheme="minorEastAsia" w:hAnsiTheme="minorEastAsia" w:cstheme="minorEastAsia"/>
                <w:i w:val="0"/>
                <w:iCs w:val="0"/>
                <w:color w:val="auto"/>
                <w:kern w:val="0"/>
                <w:sz w:val="21"/>
                <w:szCs w:val="21"/>
                <w:highlight w:val="none"/>
                <w:u w:val="none"/>
                <w:lang w:val="en-US" w:eastAsia="zh-CN" w:bidi="ar"/>
              </w:rPr>
              <w:t>、双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冷凝器</w:t>
            </w:r>
            <w:r>
              <w:rPr>
                <w:rFonts w:hint="eastAsia" w:asciiTheme="minorEastAsia" w:hAnsiTheme="minorEastAsia" w:cstheme="minorEastAsia"/>
                <w:i w:val="0"/>
                <w:iCs w:val="0"/>
                <w:color w:val="auto"/>
                <w:kern w:val="0"/>
                <w:sz w:val="21"/>
                <w:szCs w:val="21"/>
                <w:highlight w:val="none"/>
                <w:u w:val="none"/>
                <w:lang w:val="en-US" w:eastAsia="zh-CN" w:bidi="ar"/>
              </w:rPr>
              <w:t>、双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冷凝风机</w:t>
            </w:r>
            <w:r>
              <w:rPr>
                <w:rFonts w:hint="eastAsia" w:asciiTheme="minorEastAsia" w:hAnsiTheme="minorEastAsia" w:cstheme="minorEastAsia"/>
                <w:i w:val="0"/>
                <w:iCs w:val="0"/>
                <w:color w:val="auto"/>
                <w:kern w:val="0"/>
                <w:sz w:val="21"/>
                <w:szCs w:val="21"/>
                <w:highlight w:val="none"/>
                <w:u w:val="none"/>
                <w:lang w:val="en-US" w:eastAsia="zh-CN" w:bidi="ar"/>
              </w:rPr>
              <w:t>，可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整体抽出机组</w:t>
            </w:r>
            <w:r>
              <w:rPr>
                <w:rFonts w:hint="eastAsia" w:asciiTheme="minorEastAsia" w:hAnsiTheme="minorEastAsia" w:cstheme="minorEastAsia"/>
                <w:i w:val="0"/>
                <w:iCs w:val="0"/>
                <w:color w:val="auto"/>
                <w:kern w:val="0"/>
                <w:sz w:val="21"/>
                <w:szCs w:val="21"/>
                <w:highlight w:val="none"/>
                <w:u w:val="none"/>
                <w:lang w:val="en-US" w:eastAsia="zh-CN" w:bidi="ar"/>
              </w:rPr>
              <w:t>进行拆卸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更换，到场即可修复，无需现场检修，自动回归关门设计，防止门体关不严，造成食物变质；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3、同时有专用开关控制，可根据温度湿度控制开关加热丝，除露除霜。</w:t>
            </w:r>
          </w:p>
        </w:tc>
        <w:tc>
          <w:tcPr>
            <w:tcW w:w="480" w:type="dxa"/>
            <w:tcBorders>
              <w:tl2br w:val="nil"/>
              <w:tr2bl w:val="nil"/>
            </w:tcBorders>
            <w:noWrap w:val="0"/>
            <w:vAlign w:val="center"/>
          </w:tcPr>
          <w:p w14:paraId="30830D7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noWrap w:val="0"/>
            <w:vAlign w:val="center"/>
          </w:tcPr>
          <w:p w14:paraId="5D22B3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10" w:type="dxa"/>
            <w:tcBorders>
              <w:tl2br w:val="nil"/>
              <w:tr2bl w:val="nil"/>
            </w:tcBorders>
            <w:noWrap w:val="0"/>
            <w:vAlign w:val="center"/>
          </w:tcPr>
          <w:p w14:paraId="00CED9F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555" w:type="dxa"/>
            <w:tcBorders>
              <w:tl2br w:val="nil"/>
              <w:tr2bl w:val="nil"/>
            </w:tcBorders>
            <w:noWrap w:val="0"/>
            <w:vAlign w:val="center"/>
          </w:tcPr>
          <w:p w14:paraId="78C549F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933" w:type="dxa"/>
            <w:tcBorders>
              <w:tl2br w:val="nil"/>
              <w:tr2bl w:val="nil"/>
            </w:tcBorders>
            <w:noWrap w:val="0"/>
            <w:vAlign w:val="center"/>
          </w:tcPr>
          <w:p w14:paraId="4DF1868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二台   28#：   二台</w:t>
            </w:r>
          </w:p>
        </w:tc>
      </w:tr>
      <w:tr w14:paraId="3428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609" w:type="dxa"/>
            <w:tcBorders>
              <w:tl2br w:val="nil"/>
              <w:tr2bl w:val="nil"/>
            </w:tcBorders>
            <w:shd w:val="clear" w:color="auto" w:fill="auto"/>
            <w:noWrap w:val="0"/>
            <w:vAlign w:val="center"/>
          </w:tcPr>
          <w:p w14:paraId="675F34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700" w:type="dxa"/>
            <w:tcBorders>
              <w:tl2br w:val="nil"/>
              <w:tr2bl w:val="nil"/>
            </w:tcBorders>
            <w:shd w:val="clear" w:color="auto" w:fill="auto"/>
            <w:noWrap w:val="0"/>
            <w:vAlign w:val="center"/>
          </w:tcPr>
          <w:p w14:paraId="0CE3EF2D">
            <w:pPr>
              <w:widowControl/>
              <w:jc w:val="center"/>
              <w:rPr>
                <w:rFonts w:hint="eastAsia" w:asciiTheme="minorEastAsia" w:hAnsiTheme="minorEastAsia" w:cstheme="minorEastAsia"/>
                <w:color w:val="auto"/>
                <w:kern w:val="0"/>
                <w:sz w:val="21"/>
                <w:szCs w:val="21"/>
                <w:highlight w:val="none"/>
              </w:rPr>
            </w:pPr>
            <w:r>
              <w:rPr>
                <w:rFonts w:hint="eastAsia" w:asciiTheme="minorEastAsia" w:hAnsiTheme="minorEastAsia" w:cstheme="minorEastAsia"/>
                <w:color w:val="auto"/>
                <w:kern w:val="0"/>
                <w:sz w:val="21"/>
                <w:szCs w:val="21"/>
                <w:highlight w:val="none"/>
              </w:rPr>
              <w:t>四门雪柜(冷冻)</w:t>
            </w:r>
          </w:p>
        </w:tc>
        <w:tc>
          <w:tcPr>
            <w:tcW w:w="1062" w:type="dxa"/>
            <w:tcBorders>
              <w:tl2br w:val="nil"/>
              <w:tr2bl w:val="nil"/>
            </w:tcBorders>
            <w:shd w:val="clear" w:color="auto" w:fill="auto"/>
            <w:noWrap w:val="0"/>
            <w:vAlign w:val="center"/>
          </w:tcPr>
          <w:p w14:paraId="521FD5B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1200*750*1960</w:t>
            </w:r>
          </w:p>
        </w:tc>
        <w:tc>
          <w:tcPr>
            <w:tcW w:w="3720" w:type="dxa"/>
            <w:tcBorders>
              <w:tl2br w:val="nil"/>
              <w:tr2bl w:val="nil"/>
            </w:tcBorders>
            <w:shd w:val="clear" w:color="000000" w:fill="FFFFFF"/>
            <w:noWrap w:val="0"/>
            <w:vAlign w:val="center"/>
          </w:tcPr>
          <w:p w14:paraId="0460143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1、材料：304 不锈钢拉丝板、铜管；超强腐蚀，经久耐用，易清洁；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2、聚氨酯整体发泡，高强度，高密度，低能耗，进口压缩机；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3、内嵌式拉手坚固耐用，自动回归门独特设计，开启自如；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4、门封条密封严实</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整齐，易更换</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清洗，不锈钢内胆；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5、层架高度可自由调整，随意规划储蓄空间；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6、内藏式制冷铜管，液晶温度显示，磁性自动回门拉门，配优质万向脚轮；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7、环保无氟</w:t>
            </w:r>
            <w:r>
              <w:rPr>
                <w:rFonts w:hint="eastAsia" w:asciiTheme="minorEastAsia" w:hAnsiTheme="minorEastAsia" w:cstheme="minorEastAsia"/>
                <w:i w:val="0"/>
                <w:iCs w:val="0"/>
                <w:color w:val="auto"/>
                <w:kern w:val="0"/>
                <w:sz w:val="21"/>
                <w:szCs w:val="21"/>
                <w:highlight w:val="none"/>
                <w:u w:val="none"/>
                <w:lang w:val="en-US" w:eastAsia="zh-CN" w:bidi="ar"/>
              </w:rPr>
              <w:t>制冷剂：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R404或</w:t>
            </w:r>
            <w:r>
              <w:rPr>
                <w:rFonts w:hint="eastAsia" w:asciiTheme="minorEastAsia" w:hAnsiTheme="minorEastAsia" w:cstheme="minorEastAsia"/>
                <w:i w:val="0"/>
                <w:iCs w:val="0"/>
                <w:color w:val="auto"/>
                <w:kern w:val="0"/>
                <w:sz w:val="21"/>
                <w:szCs w:val="21"/>
                <w:highlight w:val="none"/>
                <w:u w:val="none"/>
                <w:lang w:val="en-US" w:eastAsia="zh-CN" w:bidi="ar"/>
              </w:rPr>
              <w:t>R314A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8、冷冻：-6~-18℃；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9、具有自动除霜功能，防触电保护类型为I型，能效等级为1级且能效指标实测值≤55%，符合《自携冷凝机组商用冷柜能效限定值及能效等级》（GB 26920.2-2015)标准</w:t>
            </w:r>
          </w:p>
        </w:tc>
        <w:tc>
          <w:tcPr>
            <w:tcW w:w="480" w:type="dxa"/>
            <w:tcBorders>
              <w:tl2br w:val="nil"/>
              <w:tr2bl w:val="nil"/>
            </w:tcBorders>
            <w:noWrap w:val="0"/>
            <w:vAlign w:val="center"/>
          </w:tcPr>
          <w:p w14:paraId="1FDB554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tcBorders>
              <w:tl2br w:val="nil"/>
              <w:tr2bl w:val="nil"/>
            </w:tcBorders>
            <w:noWrap w:val="0"/>
            <w:vAlign w:val="center"/>
          </w:tcPr>
          <w:p w14:paraId="38BEA3C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510" w:type="dxa"/>
            <w:tcBorders>
              <w:tl2br w:val="nil"/>
              <w:tr2bl w:val="nil"/>
            </w:tcBorders>
            <w:noWrap w:val="0"/>
            <w:vAlign w:val="center"/>
          </w:tcPr>
          <w:p w14:paraId="152F753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555" w:type="dxa"/>
            <w:tcBorders>
              <w:tl2br w:val="nil"/>
              <w:tr2bl w:val="nil"/>
            </w:tcBorders>
            <w:noWrap w:val="0"/>
            <w:vAlign w:val="center"/>
          </w:tcPr>
          <w:p w14:paraId="3D005A2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933" w:type="dxa"/>
            <w:tcBorders>
              <w:tl2br w:val="nil"/>
              <w:tr2bl w:val="nil"/>
            </w:tcBorders>
            <w:noWrap w:val="0"/>
            <w:vAlign w:val="center"/>
          </w:tcPr>
          <w:p w14:paraId="1FE8A63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4台   28#：   4台</w:t>
            </w:r>
          </w:p>
        </w:tc>
      </w:tr>
      <w:tr w14:paraId="1C2D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609" w:type="dxa"/>
            <w:shd w:val="clear" w:color="auto" w:fill="auto"/>
            <w:noWrap w:val="0"/>
            <w:vAlign w:val="top"/>
          </w:tcPr>
          <w:p w14:paraId="2C1C7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700" w:type="dxa"/>
            <w:shd w:val="clear" w:color="auto" w:fill="auto"/>
            <w:noWrap w:val="0"/>
            <w:vAlign w:val="center"/>
          </w:tcPr>
          <w:p w14:paraId="2EEF2B40">
            <w:pPr>
              <w:widowControl/>
              <w:jc w:val="center"/>
              <w:rPr>
                <w:rFonts w:hint="eastAsia" w:asciiTheme="minorEastAsia" w:hAnsiTheme="minorEastAsia" w:eastAsiaTheme="minorEastAsia" w:cstheme="minorEastAsia"/>
                <w:color w:val="auto"/>
                <w:kern w:val="0"/>
                <w:sz w:val="21"/>
                <w:szCs w:val="21"/>
                <w:highlight w:val="none"/>
                <w:lang w:val="en-US" w:eastAsia="zh-CN" w:bidi="ar-SA"/>
              </w:rPr>
            </w:pPr>
            <w:r>
              <w:rPr>
                <w:rFonts w:hint="eastAsia" w:asciiTheme="minorEastAsia" w:hAnsiTheme="minorEastAsia" w:cstheme="minorEastAsia"/>
                <w:color w:val="auto"/>
                <w:kern w:val="0"/>
                <w:sz w:val="21"/>
                <w:szCs w:val="21"/>
                <w:highlight w:val="none"/>
              </w:rPr>
              <w:t>四门雪柜(冷藏)</w:t>
            </w:r>
          </w:p>
        </w:tc>
        <w:tc>
          <w:tcPr>
            <w:tcW w:w="1062" w:type="dxa"/>
            <w:shd w:val="clear" w:color="auto" w:fill="auto"/>
            <w:noWrap w:val="0"/>
            <w:vAlign w:val="center"/>
          </w:tcPr>
          <w:p w14:paraId="29AD903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1200*750*1960</w:t>
            </w:r>
          </w:p>
        </w:tc>
        <w:tc>
          <w:tcPr>
            <w:tcW w:w="3720" w:type="dxa"/>
            <w:shd w:val="clear" w:color="000000" w:fill="FFFFFF"/>
            <w:noWrap w:val="0"/>
            <w:vAlign w:val="center"/>
          </w:tcPr>
          <w:p w14:paraId="5808F7C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1、材料：304 不锈钢拉丝板、铜管；超强腐蚀，经久耐用，易清洁；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2、聚氨酯整体发泡，高强度，高密度，低能耗，进口压缩机；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3、内嵌式拉手坚固耐用，自动回归门独特设计，开启自如；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4、门封条密封严实，整齐，易更换，清洗，不锈钢内胆；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5、层架高度可自由调整，随意规划储蓄空间；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6、内藏式制冷铜管，液晶温度显示，磁性自动回门拉门，配优质万向脚轮；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7、环保无氟：R404或R314A 制冷剂；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8、冷藏：+1℃~+4℃。</w:t>
            </w:r>
          </w:p>
        </w:tc>
        <w:tc>
          <w:tcPr>
            <w:tcW w:w="480" w:type="dxa"/>
            <w:noWrap w:val="0"/>
            <w:vAlign w:val="center"/>
          </w:tcPr>
          <w:p w14:paraId="5ECDCA9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525" w:type="dxa"/>
            <w:noWrap w:val="0"/>
            <w:vAlign w:val="center"/>
          </w:tcPr>
          <w:p w14:paraId="1E998A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510" w:type="dxa"/>
            <w:noWrap w:val="0"/>
            <w:vAlign w:val="center"/>
          </w:tcPr>
          <w:p w14:paraId="7C9A6C8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555" w:type="dxa"/>
            <w:noWrap w:val="0"/>
            <w:vAlign w:val="center"/>
          </w:tcPr>
          <w:p w14:paraId="3F736E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933" w:type="dxa"/>
            <w:noWrap w:val="0"/>
            <w:vAlign w:val="center"/>
          </w:tcPr>
          <w:p w14:paraId="1439EB7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  4台   28#：   4台</w:t>
            </w:r>
          </w:p>
        </w:tc>
      </w:tr>
    </w:tbl>
    <w:p w14:paraId="7AE6F6D2">
      <w:pPr>
        <w:rPr>
          <w:rFonts w:hint="eastAsia" w:asciiTheme="minorEastAsia" w:hAnsiTheme="minorEastAsia" w:cstheme="minorEastAsia"/>
          <w:color w:val="auto"/>
          <w:szCs w:val="21"/>
          <w:highlight w:val="none"/>
        </w:rPr>
      </w:pPr>
    </w:p>
    <w:p w14:paraId="574BD559">
      <w:pPr>
        <w:pStyle w:val="2"/>
        <w:rPr>
          <w:rFonts w:hint="eastAsia" w:ascii="仿宋" w:hAnsi="仿宋" w:eastAsia="仿宋" w:cs="仿宋"/>
          <w:b w:val="0"/>
          <w:bCs w:val="0"/>
          <w:color w:val="auto"/>
          <w:kern w:val="2"/>
          <w:sz w:val="28"/>
          <w:szCs w:val="28"/>
          <w:highlight w:val="none"/>
          <w:lang w:val="en-US" w:eastAsia="zh-CN" w:bidi="ar-SA"/>
        </w:rPr>
      </w:pPr>
    </w:p>
    <w:p w14:paraId="0791685B">
      <w:pPr>
        <w:pStyle w:val="2"/>
        <w:rPr>
          <w:rFonts w:hint="eastAsia"/>
          <w:lang w:val="en-US" w:eastAsia="zh-CN"/>
        </w:rPr>
      </w:pPr>
    </w:p>
    <w:p w14:paraId="4511D083">
      <w:pPr>
        <w:pStyle w:val="2"/>
        <w:rPr>
          <w:rFonts w:hint="eastAsia"/>
          <w:lang w:val="en-US" w:eastAsia="zh-CN"/>
        </w:rPr>
      </w:pPr>
    </w:p>
    <w:p w14:paraId="53E178A9">
      <w:pPr>
        <w:pageBreakBefore w:val="0"/>
        <w:widowControl w:val="0"/>
        <w:kinsoku/>
        <w:wordWrap/>
        <w:overflowPunct/>
        <w:topLinePunct w:val="0"/>
        <w:autoSpaceDE/>
        <w:autoSpaceDN/>
        <w:bidi w:val="0"/>
        <w:snapToGrid/>
        <w:spacing w:line="360" w:lineRule="auto"/>
        <w:jc w:val="left"/>
        <w:textAlignment w:val="auto"/>
        <w:rPr>
          <w:rFonts w:hint="eastAsia" w:ascii="仿宋" w:hAnsi="仿宋" w:eastAsia="仿宋" w:cs="仿宋"/>
          <w:b w:val="0"/>
          <w:bCs w:val="0"/>
          <w:color w:val="auto"/>
          <w:kern w:val="2"/>
          <w:sz w:val="28"/>
          <w:szCs w:val="28"/>
          <w:highlight w:val="none"/>
          <w:lang w:val="en-US" w:eastAsia="zh-CN" w:bidi="ar-SA"/>
        </w:rPr>
      </w:pPr>
    </w:p>
    <w:p w14:paraId="3B62EF6F">
      <w:pPr>
        <w:pStyle w:val="5"/>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rPr>
        <w:t>第二包</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rPr>
        <w:t>采购标的名称、数量及技术要求</w:t>
      </w:r>
      <w:r>
        <w:rPr>
          <w:rFonts w:hint="eastAsia" w:asciiTheme="minorEastAsia" w:hAnsiTheme="minorEastAsia" w:eastAsiaTheme="minorEastAsia" w:cstheme="minorEastAsia"/>
          <w:b/>
          <w:bCs/>
          <w:color w:val="auto"/>
          <w:sz w:val="21"/>
          <w:szCs w:val="21"/>
          <w:highlight w:val="none"/>
          <w:lang w:val="en-US" w:eastAsia="zh-CN"/>
        </w:rPr>
        <w:t xml:space="preserve">  </w:t>
      </w:r>
    </w:p>
    <w:tbl>
      <w:tblPr>
        <w:tblStyle w:val="13"/>
        <w:tblW w:w="9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
        <w:gridCol w:w="580"/>
        <w:gridCol w:w="6774"/>
        <w:gridCol w:w="383"/>
        <w:gridCol w:w="386"/>
        <w:gridCol w:w="552"/>
      </w:tblGrid>
      <w:tr w14:paraId="786BA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45EFEB9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580"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5E69CAB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产品类别</w:t>
            </w:r>
          </w:p>
        </w:tc>
        <w:tc>
          <w:tcPr>
            <w:tcW w:w="6774"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48F1699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技术规格</w:t>
            </w:r>
          </w:p>
        </w:tc>
        <w:tc>
          <w:tcPr>
            <w:tcW w:w="383"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3823C8D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386"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2BD59EF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c>
          <w:tcPr>
            <w:tcW w:w="552" w:type="dxa"/>
            <w:tcBorders>
              <w:top w:val="single" w:color="000000" w:sz="8" w:space="0"/>
              <w:left w:val="single" w:color="000000" w:sz="8" w:space="0"/>
              <w:bottom w:val="single" w:color="000000" w:sz="8" w:space="0"/>
              <w:right w:val="single" w:color="000000" w:sz="8" w:space="0"/>
            </w:tcBorders>
            <w:shd w:val="clear" w:color="auto" w:fill="BFBFBF"/>
            <w:vAlign w:val="center"/>
          </w:tcPr>
          <w:p w14:paraId="63C4C55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p>
        </w:tc>
      </w:tr>
      <w:tr w14:paraId="69B1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40A0A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3FEC0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彩色网络摄像机</w:t>
            </w:r>
            <w:r>
              <w:rPr>
                <w:rFonts w:hint="eastAsia" w:asciiTheme="minorEastAsia" w:hAnsiTheme="minorEastAsia" w:eastAsiaTheme="minorEastAsia" w:cstheme="minorEastAsia"/>
                <w:color w:val="auto"/>
                <w:szCs w:val="21"/>
                <w:highlight w:val="none"/>
                <w:u w:val="single"/>
                <w:lang w:val="en-US" w:eastAsia="zh-CN"/>
              </w:rPr>
              <w:t>▲</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9A2C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 内置靶面尺寸为1/1.8英寸的CMOS图像传感器；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宋体" w:hAnsi="宋体" w:eastAsia="宋体" w:cs="宋体"/>
                <w:i w:val="0"/>
                <w:iCs w:val="0"/>
                <w:color w:val="000000"/>
                <w:kern w:val="0"/>
                <w:sz w:val="22"/>
                <w:szCs w:val="22"/>
                <w:u w:val="none"/>
                <w:lang w:val="en-US" w:eastAsia="zh-CN" w:bidi="ar"/>
              </w:rPr>
              <w:t>400万像素，视频分辨率不低于2560*1440；（提供产品截图或说明书或检测报告）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2.焦距：4mm、6mm、8mm可选，内置GPU芯片、1个拾音器和1个扬声器，具有不少于（以下）1个RJ45接口；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3.支持H.265、H.264视频编码，最低照度：≤0.00051x（彩色）、≤0.00011x（黑色），最大亮度≥11级；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补光灯开启后，灯光应为椭圆形形状，且补光灯均匀无波纹状、圆环状、麻点状、条纹状和不规则亮斑；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5.具有AI-ISP图像质量提升功能，在低照度环境下，可自动调节预览场景视频画面中人脸、人体等目标及预览场景视频画面的区域曝光、亮度、色彩饱和度、对比度、锐度等。</w:t>
            </w:r>
          </w:p>
          <w:p w14:paraId="2576D97C">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000000"/>
                <w:kern w:val="0"/>
                <w:sz w:val="22"/>
                <w:szCs w:val="22"/>
                <w:u w:val="none"/>
                <w:lang w:val="en-US" w:eastAsia="zh-CN" w:bidi="ar"/>
              </w:rPr>
              <w:t>6.支持流量管理功能，可设置日平均码率和最大码率上限。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7.电源电压在DC12V±25%范围内变化时，摄像机应能正常工作；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8.外壳防护等级≥IP66。</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B5813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631E8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0B4DF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学生就餐区及仓储区</w:t>
            </w:r>
          </w:p>
        </w:tc>
      </w:tr>
      <w:tr w14:paraId="1C1A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380FE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8325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防油污半球型摄像机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FB4017">
            <w:pPr>
              <w:widowControl/>
              <w:numPr>
                <w:ilvl w:val="0"/>
                <w:numId w:val="0"/>
              </w:numPr>
              <w:bidi w:val="0"/>
              <w:jc w:val="left"/>
              <w:textAlignment w:val="center"/>
              <w:rPr>
                <w:rFonts w:hint="eastAsia" w:asciiTheme="minorEastAsia" w:hAnsiTheme="minorEastAsia" w:cstheme="minorEastAsia"/>
                <w:color w:val="auto"/>
                <w:highlight w:val="none"/>
              </w:rPr>
            </w:pPr>
            <w:r>
              <w:rPr>
                <w:rFonts w:hint="eastAsia" w:asciiTheme="minorEastAsia" w:hAnsiTheme="minorEastAsia" w:cstheme="minorEastAsia"/>
                <w:i w:val="0"/>
                <w:iCs w:val="0"/>
                <w:color w:val="auto"/>
                <w:kern w:val="0"/>
                <w:sz w:val="21"/>
                <w:szCs w:val="21"/>
                <w:highlight w:val="none"/>
                <w:u w:val="none"/>
                <w:lang w:val="en-US" w:eastAsia="zh-CN" w:bidi="ar"/>
              </w:rPr>
              <w:t>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≥400万像素CMOS图像传感器，以下至少具有1个RJ45接口、1个音频输入接口、1个音频输出接口、1个SD卡槽、1个报警输入接口、1个报警输出接口；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2.焦距：2.8mm/4mm/6mm可选；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3.最低照度：彩色：≤0.0005lx;黑白：≤0.0001lx；</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4.支持H.265、H.264视频编码，视频分辨率≥2688×1520，支持三码流；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5.支持OSD字符叠加功能，具有8行字符显示，字体颜色、描边、背景、空心可设置，叠加的OSD可以在屏幕中滚动显示,可以叠加图片格式的OSD；</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cstheme="minorEastAsia"/>
                <w:color w:val="auto"/>
                <w:highlight w:val="none"/>
              </w:rPr>
              <w:t>●6.设备镜头前部具有防尘玻璃，玻璃外框采用3个磁吸柱固定。</w:t>
            </w:r>
            <w:r>
              <w:rPr>
                <w:rFonts w:hint="eastAsia" w:ascii="宋体" w:hAnsi="宋体" w:eastAsia="宋体" w:cs="宋体"/>
                <w:i w:val="0"/>
                <w:iCs w:val="0"/>
                <w:color w:val="000000"/>
                <w:kern w:val="0"/>
                <w:sz w:val="22"/>
                <w:szCs w:val="22"/>
                <w:u w:val="none"/>
                <w:lang w:val="en-US" w:eastAsia="zh-CN" w:bidi="ar"/>
              </w:rPr>
              <w:t>（提供产品截图或说明书或检测报告）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Theme="minorEastAsia" w:hAnsiTheme="minorEastAsia" w:cstheme="minorEastAsia"/>
                <w:color w:val="auto"/>
                <w:highlight w:val="none"/>
              </w:rPr>
              <w:t>7.内置1个防尘玻璃，1个麦克风，一个RJ45网络接口。</w:t>
            </w:r>
          </w:p>
          <w:p w14:paraId="051A0F6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8.红外灯开启后可识别距离设备≥50m处人体轮廓；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9.支持</w:t>
            </w:r>
            <w:r>
              <w:rPr>
                <w:rFonts w:hint="eastAsia" w:ascii="宋体" w:hAnsi="宋体" w:eastAsia="宋体" w:cs="宋体"/>
                <w:i w:val="0"/>
                <w:iCs w:val="0"/>
                <w:color w:val="000000"/>
                <w:kern w:val="0"/>
                <w:sz w:val="22"/>
                <w:szCs w:val="22"/>
                <w:u w:val="none"/>
                <w:lang w:val="en-US" w:eastAsia="zh-CN" w:bidi="ar"/>
              </w:rPr>
              <w:t>≥IP66</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防护等级；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10.电源电压在DC12V±35%范围内变化时，摄像机应能正常工作，支持PoE供电</w:t>
            </w:r>
            <w:r>
              <w:rPr>
                <w:rFonts w:hint="eastAsia" w:asciiTheme="minorEastAsia" w:hAnsiTheme="minorEastAsia" w:cstheme="minorEastAsia"/>
                <w:i w:val="0"/>
                <w:iCs w:val="0"/>
                <w:color w:val="auto"/>
                <w:kern w:val="0"/>
                <w:sz w:val="21"/>
                <w:szCs w:val="21"/>
                <w:highlight w:val="none"/>
                <w:u w:val="none"/>
                <w:lang w:val="en-US" w:eastAsia="zh-CN" w:bidi="ar"/>
              </w:rPr>
              <w:t>。</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3673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A7B3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c>
          <w:tcPr>
            <w:tcW w:w="55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AD72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烹饪区，后厨油烟比较大的地方</w:t>
            </w:r>
          </w:p>
        </w:tc>
      </w:tr>
      <w:tr w14:paraId="67C49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A16B2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7F1CD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防油污枪型摄像机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57AB3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Theme="minorEastAsia" w:hAnsiTheme="minorEastAsia" w:cstheme="minorEastAsia"/>
                <w:i w:val="0"/>
                <w:iCs w:val="0"/>
                <w:color w:val="auto"/>
                <w:kern w:val="0"/>
                <w:sz w:val="21"/>
                <w:szCs w:val="21"/>
                <w:highlight w:val="none"/>
                <w:u w:val="none"/>
                <w:lang w:val="en-US" w:eastAsia="zh-CN" w:bidi="ar"/>
              </w:rPr>
              <w:t>4</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00万像素</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1/2.7传感器靶面尺寸，最高分辨率为</w:t>
            </w:r>
            <w:r>
              <w:rPr>
                <w:rFonts w:hint="eastAsia" w:ascii="宋体" w:hAnsi="宋体" w:eastAsia="宋体" w:cs="宋体"/>
                <w:i w:val="0"/>
                <w:iCs w:val="0"/>
                <w:color w:val="000000"/>
                <w:kern w:val="0"/>
                <w:sz w:val="22"/>
                <w:szCs w:val="22"/>
                <w:u w:val="none"/>
                <w:lang w:val="en-US" w:eastAsia="zh-CN" w:bidi="ar"/>
              </w:rPr>
              <w:t>2688*1520；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2.采用定焦镜头，镜头焦距为4mm、6mm，光圈大小为F1.6</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3.最低照度彩色≤0.003lux，黑白≤0.001lux</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4.支持红外补光，暖光补光，智能双光；补光距离：≥50m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5.支持光学宽动态120dB；支持2D降噪、3D降噪；支持走廊模式；支持手动、自动白平衡；支持手动、自动增益；支持强光抑制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r>
              <w:rPr>
                <w:rFonts w:hint="eastAsia" w:asciiTheme="minorEastAsia" w:hAnsiTheme="minorEastAsia" w:cstheme="minorEastAsia"/>
                <w:i w:val="0"/>
                <w:iCs w:val="0"/>
                <w:color w:val="auto"/>
                <w:kern w:val="0"/>
                <w:sz w:val="21"/>
                <w:szCs w:val="21"/>
                <w:highlight w:val="none"/>
                <w:u w:val="none"/>
                <w:lang w:val="en-US" w:eastAsia="zh-CN" w:bidi="ar"/>
              </w:rPr>
              <w:t>支持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H.265、H.264、MJPEG视频编码格式；支持三码流；支持G.711A、G.711U、AAC音频编码格式；支持ONVIF、API、GB/T28181等协议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r>
              <w:rPr>
                <w:rFonts w:hint="eastAsia" w:asciiTheme="minorEastAsia" w:hAnsiTheme="minorEastAsia" w:cstheme="minorEastAsia"/>
                <w:i w:val="0"/>
                <w:iCs w:val="0"/>
                <w:color w:val="auto"/>
                <w:kern w:val="0"/>
                <w:sz w:val="21"/>
                <w:szCs w:val="21"/>
                <w:highlight w:val="none"/>
                <w:u w:val="none"/>
                <w:lang w:val="en-US" w:eastAsia="zh-CN" w:bidi="ar"/>
              </w:rPr>
              <w:t>支持</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防油污结构设计，防止油污影响画面效果，保障24h后厨透明化监管；磁吸可替换前盖，拆卸简单，清洁方便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8.支持运动检测、遮挡检测、声音检测；支持周界布防：越界检测、区域入侵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9.支持一个10M/100M自适应以太网电口，内置1个Mic，1个扬声器；支持不低于1路音频输入接口、1路音频输出接口，支持不低于1路告警输入接口、1路告警输出接口；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10.供电方式：DC12V±25%、POE(IEEE802.3af)；最大功耗：</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9.1W；支持电源返送DC12V，100mA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11.工作温度：-30℃~60℃；湿度：≤95%RH（相对湿度，无冷凝）；防护等级：≥IP67；</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AC798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273A5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c>
          <w:tcPr>
            <w:tcW w:w="5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6A5ED3">
            <w:pPr>
              <w:jc w:val="center"/>
              <w:rPr>
                <w:rFonts w:hint="eastAsia" w:asciiTheme="minorEastAsia" w:hAnsiTheme="minorEastAsia" w:eastAsiaTheme="minorEastAsia" w:cstheme="minorEastAsia"/>
                <w:i w:val="0"/>
                <w:iCs w:val="0"/>
                <w:color w:val="auto"/>
                <w:sz w:val="21"/>
                <w:szCs w:val="21"/>
                <w:highlight w:val="none"/>
                <w:u w:val="none"/>
              </w:rPr>
            </w:pPr>
          </w:p>
        </w:tc>
      </w:tr>
      <w:tr w14:paraId="4AD3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A5139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A5FAB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智能抓拍摄像机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E6CC9C">
            <w:pPr>
              <w:keepNext w:val="0"/>
              <w:keepLines w:val="0"/>
              <w:widowControl/>
              <w:numPr>
                <w:ilvl w:val="-1"/>
                <w:numId w:val="0"/>
              </w:numPr>
              <w:suppressLineNumbers w:val="0"/>
              <w:jc w:val="left"/>
              <w:textAlignment w:val="auto"/>
              <w:rPr>
                <w:rFonts w:hint="eastAsia" w:asciiTheme="minorEastAsia" w:hAnsiTheme="minorEastAsia" w:eastAsiaTheme="minorEastAsia" w:cstheme="minorEastAsia"/>
                <w:i w:val="0"/>
                <w:iCs w:val="0"/>
                <w:color w:val="FF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1.具有不小于1/1.8inch逐行扫描、≥400万像素CMOS图像传感器；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内置CPU／GPU／NPU一体化芯片、7颗暖光灯、2个麦克风和1个扬声器，具有1个RJ45接口、1个音频输入接口、1个音频输出接口、1个报警输入接口、1个报警输出接口、1个RS485接口、1个TF卡槽、1个RESET复位按钮，采用DC12V或POE供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3.焦距：4mm/6mm可选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4.最低照度：彩色：≤0.0002lx，黑白：≤0.0001lx；</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val="0"/>
                <w:bCs w:val="0"/>
                <w:color w:val="auto"/>
                <w:kern w:val="0"/>
                <w:sz w:val="21"/>
                <w:szCs w:val="21"/>
                <w:highlight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r>
              <w:rPr>
                <w:rFonts w:hint="eastAsia" w:asciiTheme="minorEastAsia" w:hAnsiTheme="minorEastAsia" w:cstheme="minorEastAsia"/>
                <w:color w:val="auto"/>
                <w:highlight w:val="none"/>
              </w:rPr>
              <w:t>支持检出两眼瞳距40像素点以上的人脸图片</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须提供第三方检测机构出具的</w:t>
            </w:r>
            <w:r>
              <w:rPr>
                <w:rFonts w:hint="eastAsia" w:asciiTheme="minorEastAsia" w:hAnsiTheme="minorEastAsia" w:cstheme="minorEastAsia"/>
                <w:i w:val="0"/>
                <w:iCs w:val="0"/>
                <w:color w:val="auto"/>
                <w:kern w:val="0"/>
                <w:sz w:val="21"/>
                <w:szCs w:val="21"/>
                <w:highlight w:val="none"/>
                <w:u w:val="none"/>
                <w:lang w:val="en-US" w:eastAsia="zh-CN" w:bidi="ar"/>
              </w:rPr>
              <w:t>检测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报告</w:t>
            </w:r>
            <w:r>
              <w:rPr>
                <w:rFonts w:hint="eastAsia" w:asciiTheme="minorEastAsia" w:hAnsiTheme="minorEastAsia" w:cstheme="minorEastAsia"/>
                <w:i w:val="0"/>
                <w:iCs w:val="0"/>
                <w:color w:val="auto"/>
                <w:kern w:val="0"/>
                <w:sz w:val="21"/>
                <w:szCs w:val="21"/>
                <w:highlight w:val="none"/>
                <w:u w:val="none"/>
                <w:lang w:val="en-US" w:eastAsia="zh-CN" w:bidi="ar"/>
              </w:rPr>
              <w:t>扫描件）</w:t>
            </w:r>
          </w:p>
          <w:p w14:paraId="32636A9D">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cstheme="minorEastAsia"/>
                <w:i w:val="0"/>
                <w:iCs w:val="0"/>
                <w:color w:val="auto"/>
                <w:kern w:val="0"/>
                <w:sz w:val="21"/>
                <w:szCs w:val="21"/>
                <w:highlight w:val="none"/>
                <w:u w:val="none"/>
                <w:lang w:val="en-US" w:eastAsia="zh-CN" w:bidi="ar"/>
              </w:rPr>
              <w:t>6</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.支持人脸抓拍功能，可对经过设定区域的行人进行人脸检测和人脸跟踪，在同一场景可同时对≥8张人脸进行检测并进行图片抓拍，支持人脸优选；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cstheme="minorEastAsia"/>
                <w:i w:val="0"/>
                <w:iCs w:val="0"/>
                <w:color w:val="auto"/>
                <w:kern w:val="0"/>
                <w:sz w:val="21"/>
                <w:szCs w:val="21"/>
                <w:highlight w:val="none"/>
                <w:u w:val="none"/>
                <w:lang w:val="en-US" w:eastAsia="zh-CN" w:bidi="ar"/>
              </w:rPr>
              <w:t>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.外壳防护等级≥IP68；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8.采用DC12V或POE供电，支持电源返送。</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6C63A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491CE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A07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食堂后厨主要出入口，用于后厨人员比对监管</w:t>
            </w:r>
          </w:p>
        </w:tc>
      </w:tr>
      <w:tr w14:paraId="778A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059E4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46A1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存储录像机（16路）</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C9262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1.具有1个硬盘指示灯(HD)实时显示硬盘运行状态、1个运行指示灯(RUN)、1个网络状态指示灯(NET),1个云状态指示灯(CLOUD)；</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2.支持16/12/10/9/7/5/4/3/1走廊模式分屏预览模式，支持抓取4000×3000</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4096×2160</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3840×2160及以下分辨率的图片</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r>
              <w:rPr>
                <w:rFonts w:hint="eastAsia" w:asciiTheme="minorEastAsia" w:hAnsiTheme="minorEastAsia" w:cstheme="minorEastAsia"/>
                <w:color w:val="auto"/>
                <w:highlight w:val="none"/>
              </w:rPr>
              <w:t>支持16个人脸库，库容5万张人脸图片；支持2路视频流人脸识别，支持8路图片流人脸识别（需提供省级以上权威机构出具的证明文件复印件）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4.支持一键跳转至通道最早的录像所在时间点开始播放录像</w:t>
            </w:r>
            <w:r>
              <w:rPr>
                <w:rFonts w:hint="eastAsia" w:asciiTheme="minorEastAsia" w:hAnsi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cstheme="minorEastAsia"/>
                <w:color w:val="auto"/>
                <w:highlight w:val="none"/>
              </w:rPr>
              <w:t>5支持本地预览权限的配置，设置权限后的通道只有登录后才会出现预览画面；支持远程预览加密，只有输入密钥才能解开视频</w:t>
            </w:r>
            <w:r>
              <w:rPr>
                <w:rFonts w:hint="eastAsia" w:asciiTheme="minorEastAsia" w:hAnsiTheme="minorEastAsia" w:cstheme="minorEastAsia"/>
                <w:color w:val="auto"/>
                <w:highlight w:val="none"/>
                <w:lang w:eastAsia="zh-CN"/>
              </w:rPr>
              <w:t>。</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153DB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4F42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5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A87E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录像机，存储视频监控30天</w:t>
            </w:r>
          </w:p>
        </w:tc>
      </w:tr>
      <w:tr w14:paraId="4310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5F05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29B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存储录像机(9路)</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2D7A7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1.2盘位硬盘录像机，可接入不少于9路的高清网络视频；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r>
              <w:rPr>
                <w:rFonts w:hint="eastAsia" w:ascii="宋体" w:hAnsi="宋体" w:eastAsia="宋体" w:cs="宋体"/>
                <w:i w:val="0"/>
                <w:iCs w:val="0"/>
                <w:color w:val="000000"/>
                <w:kern w:val="0"/>
                <w:sz w:val="22"/>
                <w:szCs w:val="22"/>
                <w:u w:val="none"/>
                <w:lang w:val="en-US" w:eastAsia="zh-CN" w:bidi="ar"/>
              </w:rPr>
              <w:t>具有≥1个HDMI接口、≥1个VGA接口、≥2个RJ45千兆网络接口、≥2个USB2.0接口、具有≥1路音频输入接口、≥1路音频输出接口、≥4路报警输入接口、≥1路报警输出接口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支持用户二次认证机制，设备恢复默认配置、格式化硬盘、密码重置、用户修改、录像回放、录像下载等关键操作需进行用户二次认证；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智能预览模式，开启后可在预览界面智能窗格中实时展示指定通道、指定智能类型的检测目标图片和信息，包括人脸抓拍目标，人脸识别目标，周界防范检测目标，客流量信息，热成像抓拍图片信息，抓拍的目标展示的属性包括名称，时间等，点击图片可回放关联录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5.设备支持最大接入或存储带宽为≥320Mbps；最大回放或转发带宽为≥160Mbps；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6.可设置走廊模式16、12、10、7、7、5、4、3、1分屏预览模式；多目模式12、9、8、7、6、3、2分屏预览模式；支持异源输出，可设置HDMI和VGA异源输出视频图像；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成功人员可查看人脸抓拍图，人脸库图片、相似度、姓名、性别、国籍、省份、城市、证件类型、证件号等信息，比对失败人员可查看人脸抓拍图、性别、年龄段、戴口罩等信息；可从外部设备、人脸抓拍库、人脸底库上传方式导入最多1张人脸图片，并设置搜索相似度(0~100），可查看人脸背景图，回放关联录像，并支持导出人脸图片和关联录像。</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E8329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144F6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5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60DD7D">
            <w:pPr>
              <w:jc w:val="center"/>
              <w:rPr>
                <w:rFonts w:hint="eastAsia" w:asciiTheme="minorEastAsia" w:hAnsiTheme="minorEastAsia" w:eastAsiaTheme="minorEastAsia" w:cstheme="minorEastAsia"/>
                <w:i w:val="0"/>
                <w:iCs w:val="0"/>
                <w:color w:val="auto"/>
                <w:sz w:val="21"/>
                <w:szCs w:val="21"/>
                <w:highlight w:val="none"/>
                <w:u w:val="none"/>
              </w:rPr>
            </w:pPr>
          </w:p>
        </w:tc>
      </w:tr>
      <w:tr w14:paraId="5E240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64F64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4C51D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6T硬盘</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C6B91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专业级监控存储硬盘</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C85CA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E32B9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c>
          <w:tcPr>
            <w:tcW w:w="5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1FBB1C">
            <w:pPr>
              <w:jc w:val="center"/>
              <w:rPr>
                <w:rFonts w:hint="eastAsia" w:asciiTheme="minorEastAsia" w:hAnsiTheme="minorEastAsia" w:eastAsiaTheme="minorEastAsia" w:cstheme="minorEastAsia"/>
                <w:i w:val="0"/>
                <w:iCs w:val="0"/>
                <w:color w:val="auto"/>
                <w:sz w:val="21"/>
                <w:szCs w:val="21"/>
                <w:highlight w:val="none"/>
                <w:u w:val="none"/>
              </w:rPr>
            </w:pPr>
          </w:p>
        </w:tc>
      </w:tr>
      <w:tr w14:paraId="63DB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98D0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1A34E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5300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≥55英寸，4k高清显示器，配套显示器壁挂支架和高清视频线</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A53F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ECFC7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cstheme="minorEastAsia"/>
                <w:i w:val="0"/>
                <w:iCs w:val="0"/>
                <w:color w:val="auto"/>
                <w:kern w:val="0"/>
                <w:sz w:val="21"/>
                <w:szCs w:val="21"/>
                <w:highlight w:val="none"/>
                <w:u w:val="none"/>
                <w:lang w:val="en-US" w:eastAsia="zh-CN" w:bidi="ar"/>
              </w:rPr>
              <w:t>6</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9120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就餐区厨房监控展示</w:t>
            </w:r>
          </w:p>
        </w:tc>
      </w:tr>
      <w:tr w14:paraId="666B8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2"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8D958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1B916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明厨亮灶算法服务器</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D31496">
            <w:pPr>
              <w:keepNext w:val="0"/>
              <w:keepLines w:val="0"/>
              <w:widowControl/>
              <w:numPr>
                <w:ilvl w:val="-1"/>
                <w:numId w:val="0"/>
              </w:numPr>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000000"/>
                <w:kern w:val="0"/>
                <w:sz w:val="22"/>
                <w:szCs w:val="22"/>
                <w:u w:val="none"/>
                <w:lang w:val="en-US" w:eastAsia="zh-CN" w:bidi="ar"/>
              </w:rPr>
              <w:t>1.支持≥2个HDMI，≥1个VGA；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2.支持报警IO接口：16路报警输入，4路报警输出；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3.引擎状态界面可显示引擎工作温度，可查看引擎配置及利用率。具有2个GPU，支持5种引擎功能：人脸识别、周界防范、视频结构化、行为分析和AI算法引擎。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4.支持输入带宽：256Mbps，接入能力：16路H.264、H.265格式高清码流接入解码能力：最大支持16×1080P；</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5.支持AI开放平台训练好的关键点（人体动作的关节点位）编排算法模型导入到设备中，可以关联引擎并且配置关键点行为规则参数进行算法分析；算法支持通过关键点识别人的行为；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6.●当平台接收到支持AI算法摄像机给出的报警后，平台会将报警结果发送给具备大模型算法的设备进行二次分析，并将二次分析结果上报给平台。（提供产品说明书或第三方检测报告）；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7.已内置2TB（3.5寸）硬盘（主要用于报警图片和报警录像存储）；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对不同的模型进行切换,支持手动删除已导入模型库中的模型；支持展示已经添加的模型包数和总模型包数;支持自定义编辑导入的模型名称(模型名称默认为原文件名)；支持设置人体、行为分析视频算法混合运行；多算法支持按通道配置,支持模型下的算法切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9.≥2个USB2.0接口、≥2个USB3.0接口、≥2个10M/100M/1000Mbps网口；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10.a.支持事件的批量配置功能, 配置项包括事件启用与上传中心；b. 支持在事件中心查看报警事件, 支持实时查看报警事件的图片、画面的预览和回放, 支持实时预览和录像回放的切换显示；c. 事件中心支持事件类型的筛选过滤展示, 支持一键清空报警事件信息；d. 事件中心显示模式支持在预览画面中心叠加弹窗展示, 支持手动关闭或自动关闭预览画面的事件中心报警弹窗；支持在弹窗内实时查看事件类型、报警图片、录像片段、通道及报警时间等信息。</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0CAA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69CE6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719C5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明厨亮灶算法服务器，用于后厨切配区、烹饪区、操作专间、仓储区，用于后厨人员穿戴监管，鼠患监管</w:t>
            </w:r>
          </w:p>
        </w:tc>
      </w:tr>
      <w:tr w14:paraId="1A030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FC27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39FD6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综合安防一体机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6A8D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1. 设备具有2个10M/100M/1000Mbps网口，1个IPMI管理网口，≥4个USB 3.0接口，1个后置VGA接口；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3.配备国产化处理器, 32G DDR4 RECC内存（支持扩容）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600G SAS*2(RAID1) ，SAS_HBA卡支持RAID 0/1/10；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4.支持在C/S客户端上对视频监控界面创建辅屏，当PC连接多个显示器时，可将辅屏拖动至其他显示器上，实现多屏幕查看视频；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5.支持双系统模式，系统启动过程中，当主程序无发启动时，可以选择从备份系统启动；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6.支持RTSP协议的媒体流，支持RTSP转国标流；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内置综合安防管理平台内置满足此次项目使用的全部授权；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8. 8核16线程C86处理器，主频3.0GHz；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9.支持今日、近一周、近一月事件总数展示； 展示今日、近一周、近一月已处置事件数量、未处置事件数量、处置率；（投标时需提供软件功能截图）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10.支持查询用户对业务的操作日志；支持诊断信息导出。</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755B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FDA0D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7696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校园食堂监控管理软件</w:t>
            </w:r>
          </w:p>
        </w:tc>
      </w:tr>
      <w:tr w14:paraId="1C31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E05B00">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F86D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安防配套图形工作站</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44578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1、CPU： 不低于（2.1GHz/8c/12T）</w:t>
            </w:r>
            <w:r>
              <w:rPr>
                <w:rFonts w:hint="eastAsia" w:asciiTheme="minorEastAsia" w:hAnsiTheme="minorEastAsia" w:cstheme="minorEastAsia"/>
                <w:i w:val="0"/>
                <w:iCs w:val="0"/>
                <w:color w:val="auto"/>
                <w:kern w:val="0"/>
                <w:sz w:val="21"/>
                <w:szCs w:val="21"/>
                <w:highlight w:val="none"/>
                <w:u w:val="none"/>
                <w:lang w:val="en-US" w:eastAsia="zh-CN" w:bidi="ar"/>
              </w:rPr>
              <w:t>的处理器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2、内存：≥8GB DDR5 5200MHz 内存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3、硬盘：≥</w:t>
            </w:r>
            <w:r>
              <w:rPr>
                <w:rFonts w:hint="eastAsia" w:asciiTheme="minorEastAsia" w:hAnsiTheme="minorEastAsia" w:cstheme="minorEastAsia"/>
                <w:i w:val="0"/>
                <w:iCs w:val="0"/>
                <w:color w:val="auto"/>
                <w:kern w:val="0"/>
                <w:sz w:val="21"/>
                <w:szCs w:val="21"/>
                <w:highlight w:val="none"/>
                <w:u w:val="none"/>
                <w:lang w:val="en-US" w:eastAsia="zh-CN" w:bidi="ar"/>
              </w:rPr>
              <w:t>512GB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M.2 NVME 固态硬盘，不少于2个M.2 SSD槽位，1个HDD硬盘位，支持后续扩展存储；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4、显卡：集成显卡；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5、网卡：集成千兆RJ45口，集成M.2 WIFI槽，以供后续内置WIFI扩展；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6、声卡：集成声卡；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7、键鼠：标准键盘、USB光电鼠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8、电源：≥180W 电源，能效可达90%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9、显示器：≥23.8寸液晶显示器，与主机同品牌；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10、接口：接口：不少于7个USB接口，其中1个USB-C、4个USB3.0及以上、前置不少于2个USB3.0 ，扩展槽：1个PCI-E*16、1个PCI-E*1 槽位，视频输出：VGA+HDMI接口；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11、机箱：不大于9L；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12、安全特性：USB屏蔽技术，仅识别USB键盘、鼠标，无法识别USB读取设备；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13、售后服务：原厂三年保修及上门服务；</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E19A1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EC0F8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AFBA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监控中心操作电脑</w:t>
            </w:r>
          </w:p>
        </w:tc>
      </w:tr>
      <w:tr w14:paraId="1E1E2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531A4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F43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2BF38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8个10/100/1000Mbps电口（支持PoE/PoE+），2个10/100/1000Mbps电口。整机POE最大输出功率</w:t>
            </w:r>
            <w:r>
              <w:rPr>
                <w:rFonts w:hint="eastAsia" w:asciiTheme="minorEastAsia" w:hAnsiTheme="minorEastAsia" w:cstheme="minorEastAsia"/>
                <w:color w:val="auto"/>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70W，支持满接8个200W摄像头，支持端口状态/流量查询，POE功率使用情况查询，端口远程重启，交换机远程重启，VLAN隔离，端口隔离，环路保护，DHCP Snooping等，支持EWEB/APP/</w:t>
            </w:r>
            <w:r>
              <w:rPr>
                <w:rFonts w:hint="eastAsia" w:asciiTheme="minorEastAsia" w:hAnsiTheme="minorEastAsia" w:cstheme="minorEastAsia"/>
                <w:i w:val="0"/>
                <w:iCs w:val="0"/>
                <w:color w:val="auto"/>
                <w:kern w:val="0"/>
                <w:sz w:val="21"/>
                <w:szCs w:val="21"/>
                <w:highlight w:val="none"/>
                <w:u w:val="none"/>
                <w:lang w:val="en-US" w:eastAsia="zh-CN" w:bidi="ar"/>
              </w:rPr>
              <w:t>MAC</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远程管理</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AE1D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A3BF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552" w:type="dxa"/>
            <w:vMerge w:val="restart"/>
            <w:tcBorders>
              <w:top w:val="single" w:color="000000" w:sz="8" w:space="0"/>
              <w:left w:val="single" w:color="000000" w:sz="8" w:space="0"/>
              <w:bottom w:val="nil"/>
              <w:right w:val="single" w:color="000000" w:sz="8" w:space="0"/>
            </w:tcBorders>
            <w:shd w:val="clear" w:color="auto" w:fill="auto"/>
            <w:vAlign w:val="center"/>
          </w:tcPr>
          <w:p w14:paraId="2C411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网络传输与防火墙配置</w:t>
            </w:r>
          </w:p>
        </w:tc>
      </w:tr>
      <w:tr w14:paraId="1B57E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FEB1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1645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汇聚交换机</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6487E4">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1.交换容量≥6.72Tbps，包转发率≥256Mpps；</w:t>
            </w:r>
          </w:p>
          <w:p w14:paraId="30C0B80F">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2.固定接口≥8 *10/100/1000TX以太网端口，≥24个SFP端口.≥4个SFP+端口；</w:t>
            </w:r>
          </w:p>
          <w:p w14:paraId="318E3FFB">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3.支持多种认证，如802.1X，WEB认证，MAC认证。支持端口隔离，支持访问控制列表，支持端口限速，支持丰富以太网IPv6功能等。</w:t>
            </w:r>
          </w:p>
          <w:p w14:paraId="74228B29">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4.最大堆叠台数9台。提供官网截图链接；</w:t>
            </w:r>
          </w:p>
          <w:p w14:paraId="5686FEC6">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5.支持DHCP Server.Client.Snooping.Relay.Option82；</w:t>
            </w:r>
          </w:p>
          <w:p w14:paraId="25E5A386">
            <w:pPr>
              <w:bidi w:val="0"/>
              <w:jc w:val="left"/>
              <w:rPr>
                <w:rFonts w:hint="eastAsia" w:asciiTheme="minorEastAsia" w:hAnsiTheme="minorEastAsia" w:cstheme="minorEastAsia"/>
                <w:color w:val="auto"/>
                <w:highlight w:val="none"/>
                <w:lang w:val="en-US" w:eastAsia="zh-CN"/>
              </w:rPr>
            </w:pPr>
            <w:r>
              <w:rPr>
                <w:rFonts w:hint="eastAsia" w:asciiTheme="minorEastAsia" w:hAnsiTheme="minorEastAsia" w:cstheme="minorEastAsia"/>
                <w:color w:val="auto"/>
                <w:highlight w:val="none"/>
                <w:lang w:val="en-US" w:eastAsia="zh-CN"/>
              </w:rPr>
              <w:t>●6.支持网管平台管理，可以查看端口管理.工作模式.接口类型.VLAN查看修改新增等，提供功能截图；</w:t>
            </w:r>
          </w:p>
          <w:p w14:paraId="7F826E4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cstheme="minorEastAsia"/>
                <w:color w:val="auto"/>
                <w:highlight w:val="none"/>
                <w:lang w:val="en-US" w:eastAsia="zh-CN"/>
              </w:rPr>
              <w:t>7.支持VLAN功能和生成树协议；具有QOS保证功能；提供官网截图链接；</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627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9BE67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552" w:type="dxa"/>
            <w:vMerge w:val="continue"/>
            <w:tcBorders>
              <w:top w:val="single" w:color="000000" w:sz="8" w:space="0"/>
              <w:left w:val="single" w:color="000000" w:sz="8" w:space="0"/>
              <w:bottom w:val="nil"/>
              <w:right w:val="single" w:color="000000" w:sz="8" w:space="0"/>
            </w:tcBorders>
            <w:shd w:val="clear" w:color="auto" w:fill="auto"/>
            <w:vAlign w:val="center"/>
          </w:tcPr>
          <w:p w14:paraId="374A8C18">
            <w:pPr>
              <w:jc w:val="center"/>
              <w:rPr>
                <w:rFonts w:hint="eastAsia" w:asciiTheme="minorEastAsia" w:hAnsiTheme="minorEastAsia" w:eastAsiaTheme="minorEastAsia" w:cstheme="minorEastAsia"/>
                <w:i w:val="0"/>
                <w:iCs w:val="0"/>
                <w:color w:val="auto"/>
                <w:sz w:val="21"/>
                <w:szCs w:val="21"/>
                <w:highlight w:val="none"/>
                <w:u w:val="none"/>
              </w:rPr>
            </w:pPr>
          </w:p>
        </w:tc>
      </w:tr>
      <w:tr w14:paraId="22665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AB41A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A468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千兆光模块</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5E730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工业级单模千兆光模块，支持工作温度-40℃~85℃，SFP光模块，中心波长</w:t>
            </w:r>
            <w:r>
              <w:rPr>
                <w:rFonts w:hint="eastAsia" w:asciiTheme="minorEastAsia" w:hAnsiTheme="minorEastAsia" w:cstheme="minorEastAsia"/>
                <w:color w:val="auto"/>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1310nm，最大传输距离</w:t>
            </w:r>
            <w:r>
              <w:rPr>
                <w:rFonts w:hint="eastAsia" w:asciiTheme="minorEastAsia" w:hAnsiTheme="minorEastAsia" w:cstheme="minorEastAsia"/>
                <w:color w:val="auto"/>
                <w:szCs w:val="21"/>
                <w:highlight w:val="none"/>
                <w:lang w:val="en-US"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10公里</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A6B2C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AD3C1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c>
          <w:tcPr>
            <w:tcW w:w="552" w:type="dxa"/>
            <w:vMerge w:val="continue"/>
            <w:tcBorders>
              <w:top w:val="single" w:color="000000" w:sz="8" w:space="0"/>
              <w:left w:val="single" w:color="000000" w:sz="8" w:space="0"/>
              <w:bottom w:val="nil"/>
              <w:right w:val="single" w:color="000000" w:sz="8" w:space="0"/>
            </w:tcBorders>
            <w:shd w:val="clear" w:color="auto" w:fill="auto"/>
            <w:vAlign w:val="center"/>
          </w:tcPr>
          <w:p w14:paraId="715E5EF2">
            <w:pPr>
              <w:jc w:val="center"/>
              <w:rPr>
                <w:rFonts w:hint="eastAsia" w:asciiTheme="minorEastAsia" w:hAnsiTheme="minorEastAsia" w:eastAsiaTheme="minorEastAsia" w:cstheme="minorEastAsia"/>
                <w:i w:val="0"/>
                <w:iCs w:val="0"/>
                <w:color w:val="auto"/>
                <w:sz w:val="21"/>
                <w:szCs w:val="21"/>
                <w:highlight w:val="none"/>
                <w:u w:val="none"/>
              </w:rPr>
            </w:pPr>
          </w:p>
        </w:tc>
      </w:tr>
      <w:tr w14:paraId="775D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D114F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F00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防火墙</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D9741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000000"/>
                <w:kern w:val="0"/>
                <w:sz w:val="22"/>
                <w:szCs w:val="22"/>
                <w:u w:val="none"/>
                <w:lang w:val="en-US" w:eastAsia="zh-CN" w:bidi="ar"/>
              </w:rPr>
              <w:t>1.64位多核高性能处理器和高速存储器；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2.防火墙吞吐量≥1500M，SSL VPN并发用户数≥750，免费自带100条SSL VPN，适用带宽300M；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3.至少配置8个千兆电口，2个BYPASS口，2个combo口，2个USB接口；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4.●支持病毒库手动和自动升级，报文流处理模式，支持HTTP、FTP、SMTP、POP3协议。提供官网截图；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5.SCF虚拟化技术，可将多台设备虚拟化为一台逻辑设备。提供官网截图；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6.支持丰富的路由协议。支持静态路由.策略路由，以及RIP.OSPF等动态路由协议;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7.L2TP VPN.IPSec VPN.GRE VPN.SSL VPN。提供官网截图；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8.支持IPsec VPN智能选路，根据隧道质量调度流量；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9.支持IPv4/IPv6双协议栈，并支持IPv6数据报文转发.静态路由.动态路由及组播路由等功能；</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8455A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F522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002113">
            <w:pPr>
              <w:jc w:val="center"/>
              <w:rPr>
                <w:rFonts w:hint="eastAsia" w:asciiTheme="minorEastAsia" w:hAnsiTheme="minorEastAsia" w:eastAsiaTheme="minorEastAsia" w:cstheme="minorEastAsia"/>
                <w:i w:val="0"/>
                <w:iCs w:val="0"/>
                <w:color w:val="auto"/>
                <w:sz w:val="21"/>
                <w:szCs w:val="21"/>
                <w:highlight w:val="none"/>
                <w:u w:val="none"/>
              </w:rPr>
            </w:pPr>
          </w:p>
        </w:tc>
      </w:tr>
      <w:tr w14:paraId="5129C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73123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5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825DA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高清视频解码器</w:t>
            </w:r>
          </w:p>
        </w:tc>
        <w:tc>
          <w:tcPr>
            <w:tcW w:w="6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D54F0C">
            <w:pPr>
              <w:bidi w:val="0"/>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1.采用嵌入式架构，专用Linux系统，使用DSP解码。为了设备稳定可靠运行，不得采用工控机或者PC机的X86架构。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2.支持2路3200W、或2路2400W、或4路1200W、或8路800W、或10路分辨率为600W、或16路400W、或32路200W、或64路100W像素的视频图像同时解码上墙，支持对主/子码流区分取流和解码显示；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3.支持接入MPEG4、MPEG2、H.264、MJPEG、H.265、SVAC等编码格式视频，并解码输出；</w:t>
            </w:r>
            <w:r>
              <w:rPr>
                <w:rFonts w:hint="eastAsia" w:ascii="宋体" w:hAnsi="宋体" w:eastAsia="宋体" w:cs="宋体"/>
                <w:i w:val="0"/>
                <w:iCs w:val="0"/>
                <w:color w:val="000000"/>
                <w:kern w:val="0"/>
                <w:sz w:val="22"/>
                <w:szCs w:val="22"/>
                <w:u w:val="none"/>
                <w:lang w:val="en-US" w:eastAsia="zh-CN" w:bidi="ar"/>
              </w:rPr>
              <w:br w:type="textWrapping"/>
            </w:r>
            <w:r>
              <w:rPr>
                <w:rStyle w:val="16"/>
                <w:lang w:val="en-US" w:eastAsia="zh-CN" w:bidi="ar"/>
              </w:rPr>
              <w:t>4.●支持客户端软件将电脑投屏后，通过设备对电脑进行远程操作。（提供产品说明书或第三方检测报告）</w:t>
            </w:r>
            <w:r>
              <w:rPr>
                <w:rStyle w:val="17"/>
                <w:lang w:val="en-US" w:eastAsia="zh-CN" w:bidi="ar"/>
              </w:rPr>
              <w:br w:type="textWrapping"/>
            </w:r>
            <w:r>
              <w:rPr>
                <w:rStyle w:val="17"/>
                <w:lang w:val="en-US" w:eastAsia="zh-CN" w:bidi="ar"/>
              </w:rPr>
              <w:t>5.为保证产品兼容性，需提供设备支持GB/T 28181-2022的证明；</w:t>
            </w:r>
            <w:r>
              <w:rPr>
                <w:rStyle w:val="17"/>
                <w:lang w:val="en-US" w:eastAsia="zh-CN" w:bidi="ar"/>
              </w:rPr>
              <w:br w:type="textWrapping"/>
            </w:r>
            <w:r>
              <w:rPr>
                <w:rStyle w:val="17"/>
                <w:lang w:val="en-US" w:eastAsia="zh-CN" w:bidi="ar"/>
              </w:rPr>
              <w:t>6.支持全部输出口同时输出3840×2160分辨率的图像；</w:t>
            </w:r>
            <w:r>
              <w:rPr>
                <w:rStyle w:val="17"/>
                <w:lang w:val="en-US" w:eastAsia="zh-CN" w:bidi="ar"/>
              </w:rPr>
              <w:br w:type="textWrapping"/>
            </w:r>
            <w:r>
              <w:rPr>
                <w:rStyle w:val="17"/>
                <w:lang w:val="en-US" w:eastAsia="zh-CN" w:bidi="ar"/>
              </w:rPr>
              <w:t>7.显控系统支持通过自动识别屏幕的行列号信息，并能根据行列号信息，自动生成对应的电视墙规模和绑定输出口关系，避免手动一对一设置输出口和LCD屏幕的对应关系；</w:t>
            </w:r>
            <w:r>
              <w:rPr>
                <w:rStyle w:val="17"/>
                <w:lang w:val="en-US" w:eastAsia="zh-CN" w:bidi="ar"/>
              </w:rPr>
              <w:br w:type="textWrapping"/>
            </w:r>
            <w:r>
              <w:rPr>
                <w:rStyle w:val="17"/>
              </w:rPr>
              <w:t>8.●显控系统支持自动检测输入源的信号类型，根据信号源类型和显示位置，自动配置信号源所在屏幕的显示场景模式（须提供第三方检测机构出具的检测报告扫描件）</w:t>
            </w:r>
            <w:r>
              <w:rPr>
                <w:rStyle w:val="17"/>
                <w:lang w:val="en-US" w:eastAsia="zh-CN" w:bidi="ar"/>
              </w:rPr>
              <w:br w:type="textWrapping"/>
            </w:r>
            <w:r>
              <w:rPr>
                <w:rStyle w:val="17"/>
                <w:lang w:val="en-US" w:eastAsia="zh-CN" w:bidi="ar"/>
              </w:rPr>
              <w:t>9.智能抓拍场景：持接入具有智能抓拍功能的前端摄像机，支持同时对行人检测、跟踪，可对前端码流里面的智能信息进行解码并显示，并触发报警弹窗、联动报警输出。</w:t>
            </w:r>
          </w:p>
        </w:tc>
        <w:tc>
          <w:tcPr>
            <w:tcW w:w="3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98BD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3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58607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55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59978E">
            <w:pPr>
              <w:spacing w:line="360" w:lineRule="auto"/>
              <w:jc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lang w:val="en-US" w:eastAsia="zh-CN"/>
              </w:rPr>
              <w:t>门卫保安室使用</w:t>
            </w:r>
          </w:p>
        </w:tc>
      </w:tr>
    </w:tbl>
    <w:p w14:paraId="6702BCC1">
      <w:pPr>
        <w:sectPr>
          <w:pgSz w:w="11906" w:h="16838"/>
          <w:pgMar w:top="2098" w:right="1474" w:bottom="1984" w:left="1587" w:header="851" w:footer="992" w:gutter="0"/>
          <w:cols w:space="425" w:num="1"/>
          <w:docGrid w:type="lines" w:linePitch="312" w:charSpace="0"/>
        </w:sectPr>
      </w:pPr>
    </w:p>
    <w:p w14:paraId="675EE469">
      <w:pPr>
        <w:pStyle w:val="3"/>
        <w:adjustRightInd w:val="0"/>
        <w:spacing w:before="120" w:beforeLines="50" w:after="120" w:afterLines="50" w:line="360" w:lineRule="auto"/>
        <w:jc w:val="both"/>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附：评标方法和标准</w:t>
      </w:r>
      <w:r>
        <w:rPr>
          <w:rFonts w:hint="eastAsia" w:ascii="宋体" w:hAnsi="宋体" w:cs="宋体"/>
          <w:b w:val="0"/>
          <w:bCs w:val="0"/>
          <w:color w:val="auto"/>
          <w:sz w:val="28"/>
          <w:szCs w:val="28"/>
          <w:highlight w:val="none"/>
          <w:lang w:val="en-US" w:eastAsia="zh-CN"/>
        </w:rPr>
        <w:t>（</w:t>
      </w:r>
      <w:r>
        <w:rPr>
          <w:rFonts w:hint="eastAsia" w:ascii="宋体" w:hAnsi="宋体" w:cs="宋体"/>
          <w:b/>
          <w:bCs/>
          <w:color w:val="auto"/>
          <w:sz w:val="28"/>
          <w:szCs w:val="28"/>
          <w:highlight w:val="none"/>
          <w:lang w:val="en-US" w:eastAsia="zh-CN"/>
        </w:rPr>
        <w:t>综合评分法</w:t>
      </w:r>
      <w:r>
        <w:rPr>
          <w:rFonts w:hint="eastAsia" w:ascii="宋体" w:hAnsi="宋体" w:cs="宋体"/>
          <w:b w:val="0"/>
          <w:bCs w:val="0"/>
          <w:color w:val="auto"/>
          <w:sz w:val="28"/>
          <w:szCs w:val="28"/>
          <w:highlight w:val="none"/>
          <w:lang w:val="en-US" w:eastAsia="zh-CN"/>
        </w:rPr>
        <w:t>）</w:t>
      </w:r>
    </w:p>
    <w:p w14:paraId="149E7519">
      <w:pPr>
        <w:pStyle w:val="3"/>
        <w:numPr>
          <w:ilvl w:val="-1"/>
          <w:numId w:val="0"/>
        </w:numPr>
        <w:ind w:firstLine="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第一包：</w:t>
      </w:r>
      <w:r>
        <w:rPr>
          <w:rFonts w:hint="eastAsia" w:asciiTheme="minorEastAsia" w:hAnsiTheme="minorEastAsia" w:eastAsiaTheme="minorEastAsia" w:cstheme="minorEastAsia"/>
          <w:b/>
          <w:bCs/>
          <w:color w:val="auto"/>
          <w:sz w:val="21"/>
          <w:szCs w:val="21"/>
          <w:highlight w:val="none"/>
          <w:lang w:eastAsia="zh-CN"/>
        </w:rPr>
        <w:t>评审办法</w:t>
      </w:r>
    </w:p>
    <w:p w14:paraId="13AF7E11">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本项目综合评分满分为100分，其中：技术资信分值占总分值的权重为</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70</w:t>
      </w:r>
      <w:r>
        <w:rPr>
          <w:rFonts w:hint="eastAsia" w:asciiTheme="minorEastAsia" w:hAnsiTheme="minorEastAsia" w:eastAsiaTheme="minorEastAsia" w:cstheme="minorEastAsia"/>
          <w:color w:val="auto"/>
          <w:sz w:val="21"/>
          <w:szCs w:val="21"/>
          <w:highlight w:val="none"/>
        </w:rPr>
        <w:t>%，价格分值占总分值的权重为</w:t>
      </w:r>
      <w:r>
        <w:rPr>
          <w:rFonts w:hint="eastAsia" w:asciiTheme="minorEastAsia" w:hAnsiTheme="minorEastAsia" w:eastAsiaTheme="minorEastAsia" w:cstheme="minorEastAsia"/>
          <w:color w:val="auto"/>
          <w:sz w:val="21"/>
          <w:szCs w:val="21"/>
          <w:highlight w:val="none"/>
          <w:u w:val="single"/>
          <w:lang w:val="en-US" w:eastAsia="zh-CN"/>
        </w:rPr>
        <w:t xml:space="preserve">  30</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%。具体评分细则如下：</w:t>
      </w:r>
    </w:p>
    <w:tbl>
      <w:tblPr>
        <w:tblStyle w:val="13"/>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767"/>
        <w:gridCol w:w="4788"/>
        <w:gridCol w:w="1683"/>
      </w:tblGrid>
      <w:tr w14:paraId="37D0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3" w:type="dxa"/>
            <w:vAlign w:val="center"/>
          </w:tcPr>
          <w:p w14:paraId="4452490F">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类别</w:t>
            </w:r>
          </w:p>
        </w:tc>
        <w:tc>
          <w:tcPr>
            <w:tcW w:w="1767" w:type="dxa"/>
            <w:vAlign w:val="center"/>
          </w:tcPr>
          <w:p w14:paraId="298690CB">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评分内容</w:t>
            </w:r>
          </w:p>
        </w:tc>
        <w:tc>
          <w:tcPr>
            <w:tcW w:w="4788" w:type="dxa"/>
            <w:vAlign w:val="center"/>
          </w:tcPr>
          <w:p w14:paraId="0CCAF1AB">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评分标准</w:t>
            </w:r>
          </w:p>
        </w:tc>
        <w:tc>
          <w:tcPr>
            <w:tcW w:w="1683" w:type="dxa"/>
            <w:vAlign w:val="center"/>
          </w:tcPr>
          <w:p w14:paraId="38836D6D">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分值范围</w:t>
            </w:r>
          </w:p>
        </w:tc>
      </w:tr>
      <w:tr w14:paraId="1A2D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restart"/>
            <w:vAlign w:val="center"/>
          </w:tcPr>
          <w:p w14:paraId="011DEB5C">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技术资信分</w:t>
            </w:r>
          </w:p>
          <w:p w14:paraId="0BED26EC">
            <w:pPr>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rPr>
              <w:t xml:space="preserve">70  </w:t>
            </w:r>
            <w:r>
              <w:rPr>
                <w:rFonts w:hint="eastAsia" w:asciiTheme="minorEastAsia" w:hAnsiTheme="minorEastAsia" w:eastAsiaTheme="minorEastAsia" w:cstheme="minorEastAsia"/>
                <w:color w:val="auto"/>
                <w:sz w:val="21"/>
                <w:szCs w:val="21"/>
                <w:highlight w:val="none"/>
              </w:rPr>
              <w:t>分）</w:t>
            </w:r>
          </w:p>
        </w:tc>
        <w:tc>
          <w:tcPr>
            <w:tcW w:w="1767" w:type="dxa"/>
            <w:vAlign w:val="center"/>
          </w:tcPr>
          <w:p w14:paraId="3ADAF629">
            <w:pPr>
              <w:widowControl/>
              <w:numPr>
                <w:ilvl w:val="255"/>
                <w:numId w:val="0"/>
              </w:num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技术参数及要</w:t>
            </w:r>
          </w:p>
          <w:p w14:paraId="6FC5DBE2">
            <w:pPr>
              <w:widowControl/>
              <w:numPr>
                <w:ilvl w:val="255"/>
                <w:numId w:val="0"/>
              </w:num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求的响应情况</w:t>
            </w:r>
          </w:p>
        </w:tc>
        <w:tc>
          <w:tcPr>
            <w:tcW w:w="4788" w:type="dxa"/>
            <w:vAlign w:val="center"/>
          </w:tcPr>
          <w:p w14:paraId="50AEB687">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评标委员会根据投标人所投产品技术参数及要求的响应情况进行评分：</w:t>
            </w:r>
          </w:p>
          <w:p w14:paraId="1A57F55F">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标注“</w:t>
            </w:r>
            <w:r>
              <w:rPr>
                <w:rFonts w:hint="eastAsia" w:asciiTheme="minorEastAsia" w:hAnsiTheme="minorEastAsia" w:eastAsiaTheme="minorEastAsia" w:cstheme="minorEastAsia"/>
                <w:b w:val="0"/>
                <w:bCs/>
                <w:color w:val="auto"/>
                <w:kern w:val="2"/>
                <w:sz w:val="21"/>
                <w:szCs w:val="21"/>
                <w:highlight w:val="none"/>
                <w:lang w:val="en-US" w:eastAsia="zh-CN" w:bidi="ar"/>
              </w:rPr>
              <w:t>●</w:t>
            </w:r>
            <w:r>
              <w:rPr>
                <w:rFonts w:hint="eastAsia" w:asciiTheme="minorEastAsia" w:hAnsiTheme="minorEastAsia" w:eastAsiaTheme="minorEastAsia" w:cstheme="minorEastAsia"/>
                <w:bCs/>
                <w:color w:val="auto"/>
                <w:sz w:val="21"/>
                <w:szCs w:val="21"/>
                <w:highlight w:val="none"/>
              </w:rPr>
              <w:t>”的条款：每满足一项得</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分，共</w:t>
            </w:r>
            <w:r>
              <w:rPr>
                <w:rFonts w:hint="eastAsia" w:asciiTheme="minorEastAsia" w:hAnsiTheme="minorEastAsia" w:eastAsiaTheme="minorEastAsia" w:cstheme="minorEastAsia"/>
                <w:bCs/>
                <w:color w:val="auto"/>
                <w:sz w:val="21"/>
                <w:szCs w:val="21"/>
                <w:highlight w:val="none"/>
                <w:u w:val="single"/>
                <w:lang w:val="en-US" w:eastAsia="zh-CN"/>
              </w:rPr>
              <w:t xml:space="preserve"> </w:t>
            </w:r>
            <w:r>
              <w:rPr>
                <w:rFonts w:hint="eastAsia" w:asciiTheme="minorEastAsia" w:hAnsiTheme="minorEastAsia" w:cstheme="minorEastAsia"/>
                <w:bCs/>
                <w:color w:val="auto"/>
                <w:sz w:val="21"/>
                <w:szCs w:val="21"/>
                <w:highlight w:val="none"/>
                <w:u w:val="single"/>
                <w:lang w:val="en-US" w:eastAsia="zh-CN"/>
              </w:rPr>
              <w:t>8</w:t>
            </w:r>
            <w:r>
              <w:rPr>
                <w:rFonts w:hint="eastAsia" w:asciiTheme="minorEastAsia" w:hAnsiTheme="minorEastAsia" w:eastAsiaTheme="minorEastAsia" w:cstheme="minorEastAsia"/>
                <w:bCs/>
                <w:color w:val="auto"/>
                <w:sz w:val="21"/>
                <w:szCs w:val="21"/>
                <w:highlight w:val="none"/>
              </w:rPr>
              <w:t>项，共计</w:t>
            </w:r>
            <w:r>
              <w:rPr>
                <w:rFonts w:hint="eastAsia" w:asciiTheme="minorEastAsia" w:hAnsiTheme="minorEastAsia" w:eastAsiaTheme="minorEastAsia" w:cstheme="minorEastAsia"/>
                <w:bCs/>
                <w:color w:val="auto"/>
                <w:sz w:val="21"/>
                <w:szCs w:val="21"/>
                <w:highlight w:val="none"/>
                <w:u w:val="single"/>
                <w:lang w:val="en-US" w:eastAsia="zh-CN"/>
              </w:rPr>
              <w:t xml:space="preserve"> </w:t>
            </w:r>
            <w:r>
              <w:rPr>
                <w:rFonts w:hint="eastAsia" w:asciiTheme="minorEastAsia" w:hAnsiTheme="minorEastAsia" w:cstheme="minorEastAsia"/>
                <w:bCs/>
                <w:color w:val="auto"/>
                <w:sz w:val="21"/>
                <w:szCs w:val="21"/>
                <w:highlight w:val="none"/>
                <w:u w:val="single"/>
                <w:lang w:val="en-US" w:eastAsia="zh-CN"/>
              </w:rPr>
              <w:t>16</w:t>
            </w:r>
            <w:r>
              <w:rPr>
                <w:rFonts w:hint="eastAsia" w:asciiTheme="minorEastAsia" w:hAnsiTheme="minorEastAsia" w:eastAsiaTheme="minorEastAsia" w:cstheme="minorEastAsia"/>
                <w:bCs/>
                <w:color w:val="auto"/>
                <w:sz w:val="21"/>
                <w:szCs w:val="21"/>
                <w:highlight w:val="none"/>
              </w:rPr>
              <w:t>分。</w:t>
            </w:r>
          </w:p>
          <w:p w14:paraId="28E5069A">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注：以投标响应表及采购需求中要求提供的证明材料作为评审依据。</w:t>
            </w:r>
          </w:p>
        </w:tc>
        <w:tc>
          <w:tcPr>
            <w:tcW w:w="1683" w:type="dxa"/>
            <w:vAlign w:val="center"/>
          </w:tcPr>
          <w:p w14:paraId="561E7DC6">
            <w:pPr>
              <w:numPr>
                <w:ilvl w:val="-1"/>
                <w:numId w:val="0"/>
              </w:num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cstheme="minorEastAsia"/>
                <w:b/>
                <w:bCs/>
                <w:color w:val="auto"/>
                <w:sz w:val="21"/>
                <w:szCs w:val="21"/>
                <w:highlight w:val="none"/>
                <w:lang w:val="en-US" w:eastAsia="zh-CN"/>
              </w:rPr>
              <w:t>0-16</w:t>
            </w:r>
            <w:r>
              <w:rPr>
                <w:rFonts w:hint="eastAsia" w:asciiTheme="minorEastAsia" w:hAnsiTheme="minorEastAsia" w:eastAsiaTheme="minorEastAsia" w:cstheme="minorEastAsia"/>
                <w:b/>
                <w:bCs/>
                <w:color w:val="auto"/>
                <w:sz w:val="21"/>
                <w:szCs w:val="21"/>
                <w:highlight w:val="none"/>
              </w:rPr>
              <w:t>分</w:t>
            </w:r>
          </w:p>
        </w:tc>
      </w:tr>
      <w:tr w14:paraId="53BA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7D574368">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31A2B06C">
            <w:pPr>
              <w:widowControl/>
              <w:numPr>
                <w:ilvl w:val="255"/>
                <w:numId w:val="0"/>
              </w:num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业绩</w:t>
            </w:r>
          </w:p>
        </w:tc>
        <w:tc>
          <w:tcPr>
            <w:tcW w:w="4788" w:type="dxa"/>
            <w:shd w:val="clear" w:color="auto" w:fill="auto"/>
            <w:vAlign w:val="center"/>
          </w:tcPr>
          <w:p w14:paraId="4803BE23">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自202</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年1月1日以来（以合同签订时间为准），</w:t>
            </w:r>
            <w:r>
              <w:rPr>
                <w:rFonts w:hint="eastAsia" w:asciiTheme="minorEastAsia" w:hAnsiTheme="minorEastAsia" w:eastAsiaTheme="minorEastAsia" w:cstheme="minorEastAsia"/>
                <w:bCs/>
                <w:color w:val="auto"/>
                <w:sz w:val="21"/>
                <w:szCs w:val="21"/>
                <w:highlight w:val="none"/>
                <w:lang w:val="en-US" w:eastAsia="zh-CN"/>
              </w:rPr>
              <w:t>投标人</w:t>
            </w:r>
            <w:r>
              <w:rPr>
                <w:rFonts w:hint="eastAsia" w:asciiTheme="minorEastAsia" w:hAnsiTheme="minorEastAsia" w:eastAsiaTheme="minorEastAsia" w:cstheme="minorEastAsia"/>
                <w:bCs/>
                <w:color w:val="auto"/>
                <w:sz w:val="21"/>
                <w:szCs w:val="21"/>
                <w:highlight w:val="none"/>
              </w:rPr>
              <w:t>具有</w:t>
            </w:r>
            <w:r>
              <w:rPr>
                <w:rFonts w:hint="eastAsia" w:asciiTheme="minorEastAsia" w:hAnsiTheme="minorEastAsia" w:eastAsiaTheme="minorEastAsia" w:cstheme="minorEastAsia"/>
                <w:bCs/>
                <w:color w:val="auto"/>
                <w:sz w:val="21"/>
                <w:szCs w:val="21"/>
                <w:highlight w:val="none"/>
                <w:lang w:val="en-US" w:eastAsia="zh-CN"/>
              </w:rPr>
              <w:t>厨房设备</w:t>
            </w:r>
            <w:r>
              <w:rPr>
                <w:rFonts w:hint="eastAsia" w:asciiTheme="minorEastAsia" w:hAnsiTheme="minorEastAsia" w:eastAsiaTheme="minorEastAsia" w:cstheme="minorEastAsia"/>
                <w:bCs/>
                <w:color w:val="auto"/>
                <w:sz w:val="21"/>
                <w:szCs w:val="21"/>
                <w:highlight w:val="none"/>
              </w:rPr>
              <w:t>供货业绩的，每提供</w:t>
            </w: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个业绩得</w:t>
            </w:r>
            <w:r>
              <w:rPr>
                <w:rFonts w:hint="eastAsia" w:asciiTheme="minorEastAsia" w:hAnsi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bCs/>
                <w:color w:val="auto"/>
                <w:sz w:val="21"/>
                <w:szCs w:val="21"/>
                <w:highlight w:val="none"/>
              </w:rPr>
              <w:t>分，满分</w:t>
            </w:r>
            <w:r>
              <w:rPr>
                <w:rFonts w:hint="eastAsia" w:asciiTheme="minorEastAsia" w:hAnsiTheme="minorEastAsia" w:cstheme="minorEastAsia"/>
                <w:bCs/>
                <w:color w:val="auto"/>
                <w:sz w:val="21"/>
                <w:szCs w:val="21"/>
                <w:highlight w:val="none"/>
                <w:lang w:val="en-US" w:eastAsia="zh-CN"/>
              </w:rPr>
              <w:t>15</w:t>
            </w:r>
            <w:r>
              <w:rPr>
                <w:rFonts w:hint="eastAsia" w:asciiTheme="minorEastAsia" w:hAnsiTheme="minorEastAsia" w:eastAsiaTheme="minorEastAsia" w:cstheme="minorEastAsia"/>
                <w:bCs/>
                <w:color w:val="auto"/>
                <w:sz w:val="21"/>
                <w:szCs w:val="21"/>
                <w:highlight w:val="none"/>
              </w:rPr>
              <w:t>分。</w:t>
            </w:r>
          </w:p>
          <w:p w14:paraId="0861F3FA">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注：</w:t>
            </w:r>
          </w:p>
          <w:p w14:paraId="5A40E5E9">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投标文件中提供合同扫描件</w:t>
            </w:r>
            <w:r>
              <w:rPr>
                <w:rFonts w:hint="eastAsia" w:asciiTheme="minorEastAsia" w:hAnsiTheme="minorEastAsia" w:eastAsiaTheme="minorEastAsia" w:cstheme="minorEastAsia"/>
                <w:b/>
                <w:bCs/>
                <w:color w:val="auto"/>
                <w:sz w:val="21"/>
                <w:szCs w:val="21"/>
                <w:highlight w:val="none"/>
                <w:lang w:val="en-US" w:eastAsia="zh-CN"/>
              </w:rPr>
              <w:t>和中标通知书</w:t>
            </w:r>
            <w:r>
              <w:rPr>
                <w:rFonts w:hint="eastAsia" w:asciiTheme="minorEastAsia" w:hAnsiTheme="minorEastAsia" w:eastAsiaTheme="minorEastAsia" w:cstheme="minorEastAsia"/>
                <w:bCs/>
                <w:color w:val="auto"/>
                <w:sz w:val="21"/>
                <w:szCs w:val="21"/>
                <w:highlight w:val="none"/>
              </w:rPr>
              <w:t xml:space="preserve">，如合同中无法体现签订时间等评审因素的，须同时提供合同甲方（业主）加盖公章证明材料扫描件，否则不得分。 </w:t>
            </w:r>
          </w:p>
        </w:tc>
        <w:tc>
          <w:tcPr>
            <w:tcW w:w="1683" w:type="dxa"/>
            <w:vAlign w:val="center"/>
          </w:tcPr>
          <w:p w14:paraId="2EE13060">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0-</w:t>
            </w:r>
            <w:r>
              <w:rPr>
                <w:rFonts w:hint="eastAsia" w:asciiTheme="minorEastAsia" w:hAnsiTheme="minorEastAsia" w:cstheme="minorEastAsia"/>
                <w:b/>
                <w:bCs/>
                <w:color w:val="auto"/>
                <w:sz w:val="21"/>
                <w:szCs w:val="21"/>
                <w:highlight w:val="none"/>
                <w:lang w:val="en-US" w:eastAsia="zh-CN"/>
              </w:rPr>
              <w:t>15</w:t>
            </w:r>
            <w:r>
              <w:rPr>
                <w:rFonts w:hint="eastAsia" w:asciiTheme="minorEastAsia" w:hAnsiTheme="minorEastAsia" w:eastAsiaTheme="minorEastAsia" w:cstheme="minorEastAsia"/>
                <w:b/>
                <w:bCs/>
                <w:color w:val="auto"/>
                <w:sz w:val="21"/>
                <w:szCs w:val="21"/>
                <w:highlight w:val="none"/>
              </w:rPr>
              <w:t>分</w:t>
            </w:r>
          </w:p>
        </w:tc>
      </w:tr>
      <w:tr w14:paraId="70A0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2499DBAC">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29F324C0">
            <w:pPr>
              <w:keepNext w:val="0"/>
              <w:keepLines w:val="0"/>
              <w:widowControl/>
              <w:numPr>
                <w:ilvl w:val="255"/>
                <w:numId w:val="0"/>
              </w:numPr>
              <w:suppressLineNumbers w:val="0"/>
              <w:spacing w:line="360" w:lineRule="auto"/>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i w:val="0"/>
                <w:iCs w:val="0"/>
                <w:snapToGrid/>
                <w:color w:val="auto"/>
                <w:kern w:val="2"/>
                <w:sz w:val="21"/>
                <w:szCs w:val="21"/>
                <w:highlight w:val="none"/>
                <w:u w:val="none"/>
                <w:lang w:val="en-US" w:eastAsia="zh-CN" w:bidi="ar"/>
              </w:rPr>
              <w:t>人员配备</w:t>
            </w:r>
          </w:p>
        </w:tc>
        <w:tc>
          <w:tcPr>
            <w:tcW w:w="4788" w:type="dxa"/>
            <w:shd w:val="clear" w:color="auto" w:fill="auto"/>
            <w:vAlign w:val="center"/>
          </w:tcPr>
          <w:p w14:paraId="314F9F86">
            <w:pPr>
              <w:widowControl/>
              <w:numPr>
                <w:ilvl w:val="255"/>
                <w:numId w:val="0"/>
              </w:numPr>
              <w:spacing w:line="360" w:lineRule="auto"/>
              <w:jc w:val="left"/>
              <w:rPr>
                <w:rFonts w:hint="eastAsia" w:asciiTheme="minorEastAsia" w:hAnsiTheme="minorEastAsia" w:cstheme="minorEastAsia"/>
                <w:bCs/>
                <w:color w:val="auto"/>
                <w:szCs w:val="21"/>
                <w:highlight w:val="none"/>
              </w:rPr>
            </w:pPr>
            <w:r>
              <w:rPr>
                <w:rFonts w:hint="eastAsia" w:asciiTheme="minorEastAsia" w:hAnsiTheme="minorEastAsia" w:eastAsiaTheme="minorEastAsia" w:cstheme="minorEastAsia"/>
                <w:bCs/>
                <w:color w:val="auto"/>
                <w:sz w:val="21"/>
                <w:szCs w:val="21"/>
                <w:highlight w:val="none"/>
              </w:rPr>
              <w:t>投标人拟为本项目配备的人员：</w:t>
            </w:r>
          </w:p>
          <w:p w14:paraId="4E11A7CF">
            <w:pPr>
              <w:widowControl/>
              <w:numPr>
                <w:ilvl w:val="255"/>
                <w:numId w:val="0"/>
              </w:num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安装</w:t>
            </w:r>
            <w:r>
              <w:rPr>
                <w:rFonts w:hint="eastAsia" w:asciiTheme="minorEastAsia" w:hAnsiTheme="minorEastAsia" w:eastAsiaTheme="minorEastAsia" w:cstheme="minorEastAsia"/>
                <w:bCs/>
                <w:color w:val="auto"/>
                <w:sz w:val="21"/>
                <w:szCs w:val="21"/>
                <w:highlight w:val="none"/>
              </w:rPr>
              <w:t>人员（</w:t>
            </w:r>
            <w:r>
              <w:rPr>
                <w:rFonts w:hint="eastAsia" w:asciiTheme="minorEastAsia" w:hAnsiTheme="minorEastAsia" w:cstheme="minorEastAsia"/>
                <w:bCs/>
                <w:color w:val="auto"/>
                <w:sz w:val="21"/>
                <w:szCs w:val="21"/>
                <w:highlight w:val="none"/>
                <w:lang w:val="en-US" w:eastAsia="zh-CN"/>
              </w:rPr>
              <w:t>含</w:t>
            </w:r>
            <w:r>
              <w:rPr>
                <w:rFonts w:hint="eastAsia" w:asciiTheme="minorEastAsia" w:hAnsiTheme="minorEastAsia" w:eastAsiaTheme="minorEastAsia" w:cstheme="minorEastAsia"/>
                <w:bCs/>
                <w:color w:val="auto"/>
                <w:sz w:val="21"/>
                <w:szCs w:val="21"/>
                <w:highlight w:val="none"/>
              </w:rPr>
              <w:t>项目负责人）：</w:t>
            </w:r>
          </w:p>
          <w:p w14:paraId="6F444152">
            <w:pPr>
              <w:widowControl/>
              <w:numPr>
                <w:ilvl w:val="255"/>
                <w:numId w:val="0"/>
              </w:numPr>
              <w:spacing w:line="360" w:lineRule="auto"/>
              <w:jc w:val="left"/>
              <w:rPr>
                <w:rFonts w:hint="eastAsia" w:asciiTheme="minorEastAsia" w:hAnsiTheme="minorEastAsia" w:cstheme="minorEastAsia"/>
                <w:bCs/>
                <w:color w:val="auto"/>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bCs/>
                <w:color w:val="auto"/>
                <w:sz w:val="21"/>
                <w:szCs w:val="21"/>
                <w:highlight w:val="none"/>
                <w:lang w:val="en-US" w:eastAsia="zh-CN"/>
              </w:rPr>
              <w:t>安装</w:t>
            </w:r>
            <w:r>
              <w:rPr>
                <w:rFonts w:hint="eastAsia" w:asciiTheme="minorEastAsia" w:hAnsiTheme="minorEastAsia" w:eastAsiaTheme="minorEastAsia" w:cstheme="minorEastAsia"/>
                <w:bCs/>
                <w:color w:val="auto"/>
                <w:sz w:val="21"/>
                <w:szCs w:val="21"/>
                <w:highlight w:val="none"/>
              </w:rPr>
              <w:t xml:space="preserve">人员具有特种作业操作证（电工作业），每提供 </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 xml:space="preserve"> 人得 </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 xml:space="preserve">分，满分 </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 xml:space="preserve"> 分。</w:t>
            </w:r>
          </w:p>
          <w:p w14:paraId="34F633B9">
            <w:pPr>
              <w:keepNext w:val="0"/>
              <w:keepLines w:val="0"/>
              <w:widowControl/>
              <w:numPr>
                <w:ilvl w:val="0"/>
                <w:numId w:val="4"/>
              </w:numPr>
              <w:suppressLineNumbers w:val="0"/>
              <w:spacing w:line="360" w:lineRule="auto"/>
              <w:jc w:val="left"/>
              <w:textAlignment w:val="auto"/>
              <w:rPr>
                <w:rFonts w:hint="eastAsia" w:asciiTheme="minorEastAsia" w:hAnsi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投标人为本项目配备的安装人员中具有政府部门颁发的燃气经营企业从业人员专业培训考试合格证书（持证人员类别为安全管理人员）</w:t>
            </w:r>
            <w:r>
              <w:rPr>
                <w:rFonts w:hint="eastAsia" w:asciiTheme="minorEastAsia" w:hAnsiTheme="minorEastAsia" w:cstheme="minorEastAsia"/>
                <w:bCs/>
                <w:color w:val="auto"/>
                <w:sz w:val="21"/>
                <w:szCs w:val="21"/>
                <w:highlight w:val="none"/>
                <w:lang w:val="en-US" w:eastAsia="zh-CN"/>
              </w:rPr>
              <w:t>的得3分，满分3分；</w:t>
            </w:r>
          </w:p>
          <w:p w14:paraId="2A014A81">
            <w:pPr>
              <w:keepNext w:val="0"/>
              <w:keepLines w:val="0"/>
              <w:widowControl/>
              <w:numPr>
                <w:ilvl w:val="0"/>
                <w:numId w:val="4"/>
              </w:numPr>
              <w:suppressLineNumbers w:val="0"/>
              <w:spacing w:line="360" w:lineRule="auto"/>
              <w:jc w:val="left"/>
              <w:textAlignment w:val="auto"/>
              <w:rPr>
                <w:rFonts w:hint="eastAsia" w:asciiTheme="minorEastAsia" w:hAnsiTheme="minorEastAsia" w:eastAsiaTheme="minorEastAsia" w:cstheme="minorEastAsia"/>
                <w:bCs/>
                <w:i w:val="0"/>
                <w:iCs w:val="0"/>
                <w:snapToGrid/>
                <w:color w:val="auto"/>
                <w:kern w:val="2"/>
                <w:sz w:val="21"/>
                <w:szCs w:val="21"/>
                <w:highlight w:val="none"/>
                <w:u w:val="none"/>
                <w:lang w:val="en-US" w:eastAsia="zh-CN" w:bidi="ar"/>
              </w:rPr>
            </w:pPr>
            <w:r>
              <w:rPr>
                <w:rFonts w:hint="eastAsia" w:asciiTheme="minorEastAsia" w:hAnsiTheme="minorEastAsia" w:cstheme="minorEastAsia"/>
                <w:bCs/>
                <w:color w:val="auto"/>
                <w:sz w:val="21"/>
                <w:szCs w:val="21"/>
                <w:highlight w:val="none"/>
                <w:lang w:val="en-US" w:eastAsia="zh-CN"/>
              </w:rPr>
              <w:t>具有</w:t>
            </w:r>
            <w:r>
              <w:rPr>
                <w:rFonts w:hint="eastAsia" w:asciiTheme="minorEastAsia" w:hAnsiTheme="minorEastAsia" w:eastAsiaTheme="minorEastAsia" w:cstheme="minorEastAsia"/>
                <w:bCs/>
                <w:color w:val="auto"/>
                <w:sz w:val="21"/>
                <w:szCs w:val="21"/>
                <w:highlight w:val="none"/>
                <w:lang w:val="en-US" w:eastAsia="zh-CN"/>
              </w:rPr>
              <w:t>燃气经营企业从业人员专业培训考试合格证书（持证人员类别为燃气用户安装检修工</w:t>
            </w:r>
            <w:r>
              <w:rPr>
                <w:rFonts w:hint="eastAsia" w:asciiTheme="minorEastAsia" w:hAnsiTheme="minorEastAsia" w:cstheme="minorEastAsia"/>
                <w:bCs/>
                <w:color w:val="auto"/>
                <w:sz w:val="21"/>
                <w:szCs w:val="21"/>
                <w:highlight w:val="none"/>
                <w:lang w:val="en-US" w:eastAsia="zh-CN"/>
              </w:rPr>
              <w:t>或运行、维护和检修人员</w:t>
            </w:r>
            <w:r>
              <w:rPr>
                <w:rFonts w:hint="eastAsia" w:asciiTheme="minorEastAsia" w:hAnsiTheme="minorEastAsia" w:eastAsiaTheme="minorEastAsia" w:cstheme="minorEastAsia"/>
                <w:bCs/>
                <w:color w:val="auto"/>
                <w:sz w:val="21"/>
                <w:szCs w:val="21"/>
                <w:highlight w:val="none"/>
                <w:lang w:val="en-US" w:eastAsia="zh-CN"/>
              </w:rPr>
              <w:t>）的，</w:t>
            </w:r>
            <w:r>
              <w:rPr>
                <w:rFonts w:hint="eastAsia" w:asciiTheme="minorEastAsia" w:hAnsiTheme="minorEastAsia" w:eastAsiaTheme="minorEastAsia" w:cstheme="minorEastAsia"/>
                <w:bCs/>
                <w:color w:val="auto"/>
                <w:sz w:val="21"/>
                <w:szCs w:val="21"/>
                <w:highlight w:val="none"/>
              </w:rPr>
              <w:t xml:space="preserve">每提供 </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 xml:space="preserve"> 人得 </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分，满分</w:t>
            </w:r>
            <w:r>
              <w:rPr>
                <w:rFonts w:hint="eastAsia" w:asciiTheme="minorEastAsia" w:hAnsi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val="en-US" w:eastAsia="zh-CN"/>
              </w:rPr>
              <w:t>。</w:t>
            </w:r>
          </w:p>
          <w:p w14:paraId="448ADAC5">
            <w:pPr>
              <w:keepNext w:val="0"/>
              <w:keepLines w:val="0"/>
              <w:widowControl/>
              <w:numPr>
                <w:ilvl w:val="255"/>
                <w:numId w:val="0"/>
              </w:numPr>
              <w:suppressLineNumbers w:val="0"/>
              <w:spacing w:line="360" w:lineRule="auto"/>
              <w:jc w:val="left"/>
              <w:textAlignment w:val="auto"/>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pPr>
            <w:r>
              <w:rPr>
                <w:rFonts w:hint="eastAsia" w:asciiTheme="minorEastAsia" w:hAnsiTheme="minorEastAsia" w:cstheme="minorEastAsia"/>
                <w:b w:val="0"/>
                <w:bCs/>
                <w:i w:val="0"/>
                <w:iCs w:val="0"/>
                <w:snapToGrid/>
                <w:color w:val="auto"/>
                <w:kern w:val="2"/>
                <w:sz w:val="21"/>
                <w:szCs w:val="21"/>
                <w:highlight w:val="none"/>
                <w:u w:val="none"/>
                <w:lang w:val="en-US" w:eastAsia="zh-CN" w:bidi="ar"/>
              </w:rPr>
              <w:t>注：</w:t>
            </w: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投标文件中</w:t>
            </w:r>
            <w:r>
              <w:rPr>
                <w:rFonts w:hint="eastAsia" w:asciiTheme="minorEastAsia" w:hAnsiTheme="minorEastAsia" w:cstheme="minorEastAsia"/>
                <w:b w:val="0"/>
                <w:bCs/>
                <w:i w:val="0"/>
                <w:iCs w:val="0"/>
                <w:snapToGrid/>
                <w:color w:val="auto"/>
                <w:kern w:val="2"/>
                <w:sz w:val="21"/>
                <w:szCs w:val="21"/>
                <w:highlight w:val="none"/>
                <w:u w:val="none"/>
                <w:lang w:val="en-US" w:eastAsia="zh-CN" w:bidi="ar"/>
              </w:rPr>
              <w:t>同时</w:t>
            </w: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提供</w:t>
            </w:r>
          </w:p>
          <w:p w14:paraId="10607790">
            <w:pPr>
              <w:keepNext w:val="0"/>
              <w:keepLines w:val="0"/>
              <w:widowControl/>
              <w:numPr>
                <w:ilvl w:val="255"/>
                <w:numId w:val="0"/>
              </w:numPr>
              <w:suppressLineNumbers w:val="0"/>
              <w:spacing w:line="360" w:lineRule="auto"/>
              <w:jc w:val="left"/>
              <w:textAlignment w:val="auto"/>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pP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（1）人员名单（格式自拟）</w:t>
            </w:r>
          </w:p>
          <w:p w14:paraId="635F2D54">
            <w:pPr>
              <w:keepNext w:val="0"/>
              <w:keepLines w:val="0"/>
              <w:widowControl/>
              <w:numPr>
                <w:ilvl w:val="255"/>
                <w:numId w:val="0"/>
              </w:numPr>
              <w:suppressLineNumbers w:val="0"/>
              <w:spacing w:line="360" w:lineRule="auto"/>
              <w:jc w:val="left"/>
              <w:textAlignment w:val="auto"/>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pP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（2）上述人员证书扫描件</w:t>
            </w:r>
          </w:p>
          <w:p w14:paraId="0EFE15C3">
            <w:pPr>
              <w:keepNext w:val="0"/>
              <w:keepLines w:val="0"/>
              <w:widowControl/>
              <w:numPr>
                <w:ilvl w:val="255"/>
                <w:numId w:val="0"/>
              </w:numPr>
              <w:suppressLineNumbers w:val="0"/>
              <w:spacing w:line="360" w:lineRule="auto"/>
              <w:jc w:val="left"/>
              <w:textAlignment w:val="auto"/>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pP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（3）提供投标人为上述人员缴纳的近3个月内（任意1个月）的社保证明材料。社保缴纳单位应当是供应商或者供应商不具备独立法人资格的分支机构。（社保缴费证明或社保的有效证明材料至少含养老保险）。</w:t>
            </w:r>
          </w:p>
          <w:p w14:paraId="4183CC67">
            <w:pPr>
              <w:keepNext w:val="0"/>
              <w:keepLines w:val="0"/>
              <w:widowControl/>
              <w:numPr>
                <w:ilvl w:val="255"/>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i w:val="0"/>
                <w:iCs w:val="0"/>
                <w:snapToGrid/>
                <w:color w:val="auto"/>
                <w:kern w:val="2"/>
                <w:sz w:val="21"/>
                <w:szCs w:val="21"/>
                <w:highlight w:val="none"/>
                <w:u w:val="none"/>
                <w:lang w:val="en-US" w:eastAsia="zh-CN" w:bidi="ar"/>
              </w:rPr>
              <w:t>（4）同一人员具有多个证书的，不可累计计分。</w:t>
            </w:r>
          </w:p>
        </w:tc>
        <w:tc>
          <w:tcPr>
            <w:tcW w:w="1683" w:type="dxa"/>
            <w:vAlign w:val="center"/>
          </w:tcPr>
          <w:p w14:paraId="0A46AEDD">
            <w:pPr>
              <w:keepNext w:val="0"/>
              <w:keepLines w:val="0"/>
              <w:widowControl/>
              <w:suppressLineNumbers w:val="0"/>
              <w:spacing w:line="36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i w:val="0"/>
                <w:iCs w:val="0"/>
                <w:snapToGrid/>
                <w:color w:val="auto"/>
                <w:kern w:val="2"/>
                <w:sz w:val="21"/>
                <w:szCs w:val="21"/>
                <w:highlight w:val="none"/>
                <w:u w:val="none"/>
                <w:lang w:val="en-US" w:eastAsia="zh-CN" w:bidi="ar"/>
              </w:rPr>
              <w:t>0-</w:t>
            </w:r>
            <w:r>
              <w:rPr>
                <w:rFonts w:hint="eastAsia" w:asciiTheme="minorEastAsia" w:hAnsiTheme="minorEastAsia" w:cstheme="minorEastAsia"/>
                <w:b/>
                <w:bCs/>
                <w:i w:val="0"/>
                <w:iCs w:val="0"/>
                <w:snapToGrid/>
                <w:color w:val="auto"/>
                <w:kern w:val="2"/>
                <w:sz w:val="21"/>
                <w:szCs w:val="21"/>
                <w:highlight w:val="none"/>
                <w:u w:val="none"/>
                <w:lang w:val="en-US" w:eastAsia="zh-CN" w:bidi="ar"/>
              </w:rPr>
              <w:t>12</w:t>
            </w:r>
            <w:r>
              <w:rPr>
                <w:rFonts w:hint="eastAsia" w:asciiTheme="minorEastAsia" w:hAnsiTheme="minorEastAsia" w:eastAsiaTheme="minorEastAsia" w:cstheme="minorEastAsia"/>
                <w:b/>
                <w:bCs/>
                <w:i w:val="0"/>
                <w:iCs w:val="0"/>
                <w:snapToGrid/>
                <w:color w:val="auto"/>
                <w:kern w:val="2"/>
                <w:sz w:val="21"/>
                <w:szCs w:val="21"/>
                <w:highlight w:val="none"/>
                <w:u w:val="none"/>
                <w:lang w:val="en-US" w:eastAsia="zh-CN" w:bidi="ar"/>
              </w:rPr>
              <w:t>分</w:t>
            </w:r>
          </w:p>
        </w:tc>
      </w:tr>
      <w:tr w14:paraId="158F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6C5848C2">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39493F74">
            <w:pPr>
              <w:widowControl/>
              <w:numPr>
                <w:ilvl w:val="255"/>
                <w:numId w:val="0"/>
              </w:numPr>
              <w:spacing w:line="360" w:lineRule="auto"/>
              <w:jc w:val="center"/>
              <w:rPr>
                <w:rFonts w:hint="eastAsia" w:asciiTheme="minorEastAsia" w:hAnsiTheme="minorEastAsia" w:eastAsiaTheme="minorEastAsia" w:cstheme="minorEastAsia"/>
                <w:bCs/>
                <w:color w:val="auto"/>
                <w:sz w:val="21"/>
                <w:szCs w:val="21"/>
                <w:highlight w:val="none"/>
                <w:u w:val="none"/>
                <w:lang w:bidi="ar"/>
              </w:rPr>
            </w:pPr>
            <w:r>
              <w:rPr>
                <w:rFonts w:hint="eastAsia" w:asciiTheme="minorEastAsia" w:hAnsiTheme="minorEastAsia" w:eastAsiaTheme="minorEastAsia" w:cstheme="minorEastAsia"/>
                <w:bCs/>
                <w:color w:val="auto"/>
                <w:kern w:val="2"/>
                <w:sz w:val="21"/>
                <w:szCs w:val="21"/>
                <w:highlight w:val="none"/>
                <w:u w:val="none"/>
                <w:lang w:val="en-US" w:eastAsia="zh-CN" w:bidi="ar"/>
              </w:rPr>
              <w:t>质量保证期</w:t>
            </w:r>
          </w:p>
        </w:tc>
        <w:tc>
          <w:tcPr>
            <w:tcW w:w="4788" w:type="dxa"/>
            <w:shd w:val="clear" w:color="auto" w:fill="auto"/>
            <w:vAlign w:val="center"/>
          </w:tcPr>
          <w:p w14:paraId="123C8139">
            <w:pPr>
              <w:keepNext w:val="0"/>
              <w:keepLines w:val="0"/>
              <w:widowControl/>
              <w:numPr>
                <w:ilvl w:val="255"/>
                <w:numId w:val="0"/>
              </w:numPr>
              <w:suppressLineNumbers w:val="0"/>
              <w:spacing w:line="360" w:lineRule="auto"/>
              <w:jc w:val="left"/>
              <w:rPr>
                <w:rFonts w:hint="eastAsia" w:asciiTheme="minorEastAsia" w:hAnsiTheme="minorEastAsia" w:cstheme="minorEastAsia"/>
                <w:bCs/>
                <w:color w:val="auto"/>
                <w:szCs w:val="21"/>
                <w:highlight w:val="none"/>
                <w:u w:val="none"/>
                <w:lang w:bidi="ar"/>
              </w:rPr>
            </w:pPr>
            <w:r>
              <w:rPr>
                <w:rFonts w:hint="eastAsia" w:asciiTheme="minorEastAsia" w:hAnsiTheme="minorEastAsia" w:eastAsiaTheme="minorEastAsia" w:cstheme="minorEastAsia"/>
                <w:bCs/>
                <w:color w:val="auto"/>
                <w:kern w:val="2"/>
                <w:sz w:val="21"/>
                <w:szCs w:val="21"/>
                <w:highlight w:val="none"/>
                <w:u w:val="none"/>
                <w:lang w:val="en-US" w:eastAsia="zh-CN" w:bidi="ar"/>
              </w:rPr>
              <w:t xml:space="preserve">所投全部产品质量保证期在满足采购文件质量保证期的基础上，每增加 1 年加 </w:t>
            </w:r>
            <w:r>
              <w:rPr>
                <w:rFonts w:hint="eastAsia" w:asciiTheme="minorEastAsia" w:hAnsiTheme="minorEastAsia" w:cstheme="minorEastAsia"/>
                <w:bCs/>
                <w:color w:val="auto"/>
                <w:kern w:val="2"/>
                <w:sz w:val="21"/>
                <w:szCs w:val="21"/>
                <w:highlight w:val="none"/>
                <w:u w:val="none"/>
                <w:lang w:val="en-US" w:eastAsia="zh-CN" w:bidi="ar"/>
              </w:rPr>
              <w:t>1</w:t>
            </w:r>
            <w:r>
              <w:rPr>
                <w:rFonts w:hint="eastAsia" w:asciiTheme="minorEastAsia" w:hAnsiTheme="minorEastAsia" w:eastAsiaTheme="minorEastAsia" w:cstheme="minorEastAsia"/>
                <w:bCs/>
                <w:color w:val="auto"/>
                <w:kern w:val="2"/>
                <w:sz w:val="21"/>
                <w:szCs w:val="21"/>
                <w:highlight w:val="none"/>
                <w:u w:val="none"/>
                <w:lang w:val="en-US" w:eastAsia="zh-CN" w:bidi="ar"/>
              </w:rPr>
              <w:t xml:space="preserve"> 分（不足 1 年的不加分）， 满分</w:t>
            </w:r>
            <w:r>
              <w:rPr>
                <w:rFonts w:hint="eastAsia" w:asciiTheme="minorEastAsia" w:hAnsiTheme="minorEastAsia" w:cstheme="minorEastAsia"/>
                <w:bCs/>
                <w:color w:val="auto"/>
                <w:kern w:val="2"/>
                <w:sz w:val="21"/>
                <w:szCs w:val="21"/>
                <w:highlight w:val="none"/>
                <w:u w:val="none"/>
                <w:lang w:val="en-US" w:eastAsia="zh-CN" w:bidi="ar"/>
              </w:rPr>
              <w:t>2</w:t>
            </w:r>
            <w:r>
              <w:rPr>
                <w:rFonts w:hint="eastAsia" w:asciiTheme="minorEastAsia" w:hAnsiTheme="minorEastAsia" w:eastAsiaTheme="minorEastAsia" w:cstheme="minorEastAsia"/>
                <w:bCs/>
                <w:color w:val="auto"/>
                <w:kern w:val="2"/>
                <w:sz w:val="21"/>
                <w:szCs w:val="21"/>
                <w:highlight w:val="none"/>
                <w:u w:val="none"/>
                <w:lang w:val="en-US" w:eastAsia="zh-CN" w:bidi="ar"/>
              </w:rPr>
              <w:t xml:space="preserve"> 分。 </w:t>
            </w:r>
          </w:p>
          <w:p w14:paraId="4158DEE3">
            <w:pPr>
              <w:widowControl/>
              <w:numPr>
                <w:ilvl w:val="255"/>
                <w:numId w:val="0"/>
              </w:numPr>
              <w:spacing w:line="360" w:lineRule="auto"/>
              <w:jc w:val="left"/>
              <w:rPr>
                <w:rFonts w:hint="eastAsia" w:asciiTheme="minorEastAsia" w:hAnsiTheme="minorEastAsia" w:eastAsiaTheme="minorEastAsia" w:cstheme="minorEastAsia"/>
                <w:b w:val="0"/>
                <w:bCs/>
                <w:color w:val="auto"/>
                <w:sz w:val="21"/>
                <w:szCs w:val="21"/>
                <w:highlight w:val="none"/>
                <w:u w:val="none"/>
                <w:lang w:bidi="ar"/>
              </w:rPr>
            </w:pPr>
            <w:r>
              <w:rPr>
                <w:rFonts w:hint="eastAsia" w:asciiTheme="minorEastAsia" w:hAnsiTheme="minorEastAsia" w:eastAsiaTheme="minorEastAsia" w:cstheme="minorEastAsia"/>
                <w:bCs/>
                <w:color w:val="auto"/>
                <w:kern w:val="2"/>
                <w:sz w:val="21"/>
                <w:szCs w:val="21"/>
                <w:highlight w:val="none"/>
                <w:u w:val="none"/>
                <w:lang w:val="en-US" w:eastAsia="zh-CN" w:bidi="ar"/>
              </w:rPr>
              <w:t>注：投标文件中提供承诺函为评审依据。</w:t>
            </w:r>
          </w:p>
        </w:tc>
        <w:tc>
          <w:tcPr>
            <w:tcW w:w="1683" w:type="dxa"/>
            <w:vAlign w:val="center"/>
          </w:tcPr>
          <w:p w14:paraId="6581FB04">
            <w:pPr>
              <w:spacing w:line="360" w:lineRule="auto"/>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lang w:val="en-US" w:eastAsia="zh-CN"/>
              </w:rPr>
              <w:t>0-2分</w:t>
            </w:r>
          </w:p>
        </w:tc>
      </w:tr>
      <w:tr w14:paraId="3D7D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171D1B2F">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09C14B8D">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供货、安装方案</w:t>
            </w:r>
          </w:p>
        </w:tc>
        <w:tc>
          <w:tcPr>
            <w:tcW w:w="4788" w:type="dxa"/>
            <w:shd w:val="clear" w:color="auto" w:fill="auto"/>
            <w:vAlign w:val="center"/>
          </w:tcPr>
          <w:p w14:paraId="1B5AD6A6">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对本项目的供货安装方案进行评价：供货</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安装</w:t>
            </w:r>
            <w:r>
              <w:rPr>
                <w:rFonts w:hint="eastAsia" w:asciiTheme="minorEastAsia" w:hAnsiTheme="minorEastAsia" w:eastAsiaTheme="minorEastAsia" w:cstheme="minorEastAsia"/>
                <w:color w:val="auto"/>
                <w:sz w:val="21"/>
                <w:szCs w:val="21"/>
                <w:highlight w:val="none"/>
              </w:rPr>
              <w:t xml:space="preserve">方案应包含质量控制、交货期保证措施、进度计划安排、包装运输、安装质量标准、具体安装及调试方案、安装流程、劳动力安排等内容。评审时由评标委员会根据各投标人方案内容进行评审打分。 </w:t>
            </w:r>
          </w:p>
          <w:p w14:paraId="0F84D168">
            <w:pPr>
              <w:numPr>
                <w:ilvl w:val="0"/>
                <w:numId w:val="5"/>
              </w:num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投标人供货安装方案内容明确齐全，具有针对性，设备调试方案有效可行，劳动力安排及时，包装运输有保障，充分满足项目需求的，得5分；</w:t>
            </w:r>
          </w:p>
          <w:p w14:paraId="17D1A393">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（2）投标人供货安装方案条理基本清晰，具有基本可行的设备调试方案，劳动力安排符合基本需求的，得3分； </w:t>
            </w:r>
          </w:p>
          <w:p w14:paraId="4E40E080">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（3）投标人供货安装整体方案简略，针对性、实用性有待改善的，得1分；</w:t>
            </w:r>
          </w:p>
          <w:p w14:paraId="24DB4C05">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（4）未提供方案的不得分。</w:t>
            </w:r>
          </w:p>
        </w:tc>
        <w:tc>
          <w:tcPr>
            <w:tcW w:w="1683" w:type="dxa"/>
            <w:vAlign w:val="center"/>
          </w:tcPr>
          <w:p w14:paraId="2F3D5BC7">
            <w:pPr>
              <w:widowControl/>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u w:val="none"/>
                <w:lang w:bidi="ar"/>
              </w:rPr>
              <w:t>0-5分</w:t>
            </w:r>
          </w:p>
        </w:tc>
      </w:tr>
      <w:tr w14:paraId="3E01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518B6058">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6D9A9997">
            <w:pPr>
              <w:widowControl/>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投标人的技术方案</w:t>
            </w:r>
          </w:p>
        </w:tc>
        <w:tc>
          <w:tcPr>
            <w:tcW w:w="4788" w:type="dxa"/>
            <w:shd w:val="clear" w:color="auto" w:fill="auto"/>
            <w:vAlign w:val="center"/>
          </w:tcPr>
          <w:p w14:paraId="540471C8">
            <w:pPr>
              <w:widowControl/>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 xml:space="preserve">根据投标人针对本项目制定技术方案（包括项目重难点分析及解决方案、项目执行的技术方案等）进行评审： </w:t>
            </w:r>
          </w:p>
          <w:p w14:paraId="68CB58D1">
            <w:pPr>
              <w:widowControl/>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 xml:space="preserve">（1）方案内容详尽清晰，重难点分析深入透彻，架构清晰明确，贴合本项目实际需求，可行性和针对性强的，得5分； </w:t>
            </w:r>
          </w:p>
          <w:p w14:paraId="60C39578">
            <w:pPr>
              <w:widowControl/>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（2）方案内容基本完善，基本贴合本项目实际需求，具有一定的可行性和针对性，得3分；</w:t>
            </w:r>
          </w:p>
          <w:p w14:paraId="68EBF15C">
            <w:pPr>
              <w:widowControl/>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（3）方案内容、重难点分</w:t>
            </w:r>
            <w:r>
              <w:rPr>
                <w:rFonts w:hint="eastAsia" w:asciiTheme="minorEastAsia" w:hAnsiTheme="minorEastAsia" w:cstheme="minorEastAsia"/>
                <w:bCs/>
                <w:color w:val="auto"/>
                <w:sz w:val="21"/>
                <w:szCs w:val="21"/>
                <w:highlight w:val="none"/>
                <w:lang w:eastAsia="zh-CN" w:bidi="ar"/>
              </w:rPr>
              <w:t>析有</w:t>
            </w:r>
            <w:r>
              <w:rPr>
                <w:rFonts w:hint="eastAsia" w:asciiTheme="minorEastAsia" w:hAnsiTheme="minorEastAsia" w:eastAsiaTheme="minorEastAsia" w:cstheme="minorEastAsia"/>
                <w:bCs/>
                <w:color w:val="auto"/>
                <w:sz w:val="21"/>
                <w:szCs w:val="21"/>
                <w:highlight w:val="none"/>
                <w:lang w:bidi="ar"/>
              </w:rPr>
              <w:t>待完善，可行性、针对性有待改善，得1分；</w:t>
            </w:r>
          </w:p>
          <w:p w14:paraId="3C76775A">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bidi="ar"/>
              </w:rPr>
              <w:t>（4）未提供不得分</w:t>
            </w:r>
            <w:r>
              <w:rPr>
                <w:rFonts w:hint="eastAsia" w:asciiTheme="minorEastAsia" w:hAnsiTheme="minorEastAsia" w:eastAsiaTheme="minorEastAsia" w:cstheme="minorEastAsia"/>
                <w:color w:val="auto"/>
                <w:sz w:val="21"/>
                <w:szCs w:val="21"/>
                <w:highlight w:val="none"/>
              </w:rPr>
              <w:t>。</w:t>
            </w:r>
          </w:p>
        </w:tc>
        <w:tc>
          <w:tcPr>
            <w:tcW w:w="1683" w:type="dxa"/>
            <w:vAlign w:val="center"/>
          </w:tcPr>
          <w:p w14:paraId="5CDE6D7F">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0-5分</w:t>
            </w:r>
          </w:p>
        </w:tc>
      </w:tr>
      <w:tr w14:paraId="51B9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50A08676">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0CF608FC">
            <w:pPr>
              <w:keepNext w:val="0"/>
              <w:keepLines w:val="0"/>
              <w:widowControl/>
              <w:suppressLineNumbers w:val="0"/>
              <w:spacing w:line="360" w:lineRule="auto"/>
              <w:jc w:val="center"/>
              <w:textAlignment w:val="auto"/>
              <w:rPr>
                <w:rFonts w:hint="eastAsia" w:asciiTheme="minorEastAsia" w:hAnsiTheme="minorEastAsia" w:eastAsiaTheme="minorEastAsia" w:cstheme="minorEastAsia"/>
                <w:bCs/>
                <w:color w:val="auto"/>
                <w:sz w:val="21"/>
                <w:szCs w:val="21"/>
                <w:highlight w:val="none"/>
                <w:lang w:val="en-US" w:bidi="ar"/>
              </w:rPr>
            </w:pPr>
            <w:r>
              <w:rPr>
                <w:rFonts w:hint="eastAsia" w:asciiTheme="minorEastAsia" w:hAnsiTheme="minorEastAsia" w:eastAsiaTheme="minorEastAsia" w:cstheme="minorEastAsia"/>
                <w:bCs/>
                <w:color w:val="auto"/>
                <w:sz w:val="21"/>
                <w:szCs w:val="21"/>
                <w:highlight w:val="none"/>
                <w:lang w:val="en-US" w:eastAsia="zh-CN" w:bidi="ar"/>
              </w:rPr>
              <w:t>质量保证</w:t>
            </w:r>
            <w:r>
              <w:rPr>
                <w:rFonts w:hint="eastAsia" w:asciiTheme="minorEastAsia" w:hAnsiTheme="minorEastAsia" w:cstheme="minorEastAsia"/>
                <w:bCs/>
                <w:color w:val="auto"/>
                <w:sz w:val="21"/>
                <w:szCs w:val="21"/>
                <w:highlight w:val="none"/>
                <w:lang w:val="en-US" w:eastAsia="zh-CN" w:bidi="ar"/>
              </w:rPr>
              <w:t>方案</w:t>
            </w:r>
          </w:p>
          <w:p w14:paraId="142AAE6B">
            <w:pPr>
              <w:keepNext w:val="0"/>
              <w:keepLines w:val="0"/>
              <w:widowControl/>
              <w:suppressLineNumbers w:val="0"/>
              <w:spacing w:line="36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
              </w:rPr>
            </w:pPr>
          </w:p>
        </w:tc>
        <w:tc>
          <w:tcPr>
            <w:tcW w:w="4788" w:type="dxa"/>
            <w:shd w:val="clear" w:color="auto" w:fill="auto"/>
            <w:vAlign w:val="center"/>
          </w:tcPr>
          <w:p w14:paraId="29680A58">
            <w:pPr>
              <w:keepNext w:val="0"/>
              <w:keepLines w:val="0"/>
              <w:widowControl/>
              <w:numPr>
                <w:ilvl w:val="-1"/>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Cs/>
                <w:color w:val="auto"/>
                <w:sz w:val="21"/>
                <w:szCs w:val="21"/>
                <w:highlight w:val="none"/>
                <w:lang w:bidi="ar"/>
              </w:rPr>
            </w:pPr>
            <w:r>
              <w:rPr>
                <w:rFonts w:hint="eastAsia" w:asciiTheme="minorEastAsia" w:hAnsiTheme="minorEastAsia" w:eastAsiaTheme="minorEastAsia" w:cstheme="minorEastAsia"/>
                <w:bCs/>
                <w:color w:val="auto"/>
                <w:sz w:val="21"/>
                <w:szCs w:val="21"/>
                <w:highlight w:val="none"/>
                <w:lang w:val="en-US" w:eastAsia="zh-CN" w:bidi="ar"/>
              </w:rPr>
              <w:t xml:space="preserve">根据项目特点及具体情况，提供质量保证措施和保障方案，满足实际需要。 </w:t>
            </w:r>
          </w:p>
          <w:p w14:paraId="5331F992">
            <w:pPr>
              <w:keepNext w:val="0"/>
              <w:keepLines w:val="0"/>
              <w:widowControl/>
              <w:numPr>
                <w:ilvl w:val="-1"/>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Cs/>
                <w:color w:val="auto"/>
                <w:sz w:val="21"/>
                <w:szCs w:val="21"/>
                <w:highlight w:val="none"/>
                <w:lang w:bidi="ar"/>
              </w:rPr>
            </w:pPr>
            <w:r>
              <w:rPr>
                <w:rFonts w:hint="eastAsia" w:asciiTheme="minorEastAsia" w:hAnsiTheme="minorEastAsia" w:eastAsiaTheme="minorEastAsia" w:cstheme="minorEastAsia"/>
                <w:bCs/>
                <w:color w:val="auto"/>
                <w:sz w:val="21"/>
                <w:szCs w:val="21"/>
                <w:highlight w:val="none"/>
                <w:lang w:val="en-US" w:eastAsia="zh-CN" w:bidi="ar"/>
              </w:rPr>
              <w:t xml:space="preserve">①提供的方案表述清晰，有具体切实可行的保障措施，具有很强的针对性、实用性的得 5 分； </w:t>
            </w:r>
          </w:p>
          <w:p w14:paraId="2845FED4">
            <w:pPr>
              <w:keepNext w:val="0"/>
              <w:keepLines w:val="0"/>
              <w:widowControl/>
              <w:numPr>
                <w:ilvl w:val="-1"/>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Cs/>
                <w:color w:val="auto"/>
                <w:sz w:val="21"/>
                <w:szCs w:val="21"/>
                <w:highlight w:val="none"/>
                <w:lang w:bidi="ar"/>
              </w:rPr>
            </w:pPr>
            <w:r>
              <w:rPr>
                <w:rFonts w:hint="eastAsia" w:asciiTheme="minorEastAsia" w:hAnsiTheme="minorEastAsia" w:eastAsiaTheme="minorEastAsia" w:cstheme="minorEastAsia"/>
                <w:bCs/>
                <w:color w:val="auto"/>
                <w:sz w:val="21"/>
                <w:szCs w:val="21"/>
                <w:highlight w:val="none"/>
                <w:lang w:val="en-US" w:eastAsia="zh-CN" w:bidi="ar"/>
              </w:rPr>
              <w:t xml:space="preserve">②提供的方案较具有一定的针对性和实用性的得 3 分； </w:t>
            </w:r>
          </w:p>
          <w:p w14:paraId="13AAAD87">
            <w:pPr>
              <w:keepNext w:val="0"/>
              <w:keepLines w:val="0"/>
              <w:widowControl/>
              <w:numPr>
                <w:ilvl w:val="-1"/>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Cs/>
                <w:color w:val="auto"/>
                <w:sz w:val="21"/>
                <w:szCs w:val="21"/>
                <w:highlight w:val="none"/>
                <w:lang w:bidi="ar"/>
              </w:rPr>
            </w:pPr>
            <w:r>
              <w:rPr>
                <w:rFonts w:hint="eastAsia" w:asciiTheme="minorEastAsia" w:hAnsiTheme="minorEastAsia" w:eastAsiaTheme="minorEastAsia" w:cstheme="minorEastAsia"/>
                <w:bCs/>
                <w:color w:val="auto"/>
                <w:sz w:val="21"/>
                <w:szCs w:val="21"/>
                <w:highlight w:val="none"/>
                <w:lang w:val="en-US" w:eastAsia="zh-CN" w:bidi="ar"/>
              </w:rPr>
              <w:t xml:space="preserve">③提供的方案实用性、针对性有待改善的得 1 分； </w:t>
            </w:r>
          </w:p>
          <w:p w14:paraId="29548757">
            <w:pPr>
              <w:keepNext w:val="0"/>
              <w:keepLines w:val="0"/>
              <w:widowControl/>
              <w:numPr>
                <w:ilvl w:val="-1"/>
                <w:numId w:val="0"/>
              </w:numPr>
              <w:suppressLineNumbers w:val="0"/>
              <w:spacing w:line="360" w:lineRule="auto"/>
              <w:ind w:left="0" w:leftChars="0" w:firstLine="0" w:firstLineChars="0"/>
              <w:jc w:val="left"/>
              <w:textAlignment w:val="auto"/>
              <w:rPr>
                <w:rFonts w:hint="eastAsia" w:asciiTheme="minorEastAsia" w:hAnsiTheme="minorEastAsia" w:eastAsiaTheme="minorEastAsia" w:cstheme="minorEastAsia"/>
                <w:bCs/>
                <w:color w:val="auto"/>
                <w:kern w:val="2"/>
                <w:sz w:val="21"/>
                <w:szCs w:val="21"/>
                <w:highlight w:val="none"/>
                <w:lang w:val="en-US" w:eastAsia="zh-CN" w:bidi="ar"/>
              </w:rPr>
            </w:pPr>
            <w:r>
              <w:rPr>
                <w:rFonts w:hint="eastAsia" w:asciiTheme="minorEastAsia" w:hAnsiTheme="minorEastAsia" w:eastAsiaTheme="minorEastAsia" w:cstheme="minorEastAsia"/>
                <w:bCs/>
                <w:color w:val="auto"/>
                <w:sz w:val="21"/>
                <w:szCs w:val="21"/>
                <w:highlight w:val="none"/>
                <w:lang w:val="en-US" w:eastAsia="zh-CN" w:bidi="ar"/>
              </w:rPr>
              <w:t>④未提供的不得分</w:t>
            </w:r>
          </w:p>
        </w:tc>
        <w:tc>
          <w:tcPr>
            <w:tcW w:w="1683" w:type="dxa"/>
            <w:vAlign w:val="center"/>
          </w:tcPr>
          <w:p w14:paraId="4E93ED6C">
            <w:pPr>
              <w:spacing w:line="360" w:lineRule="auto"/>
              <w:jc w:val="center"/>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cstheme="minorEastAsia"/>
                <w:b/>
                <w:bCs/>
                <w:color w:val="auto"/>
                <w:sz w:val="21"/>
                <w:szCs w:val="21"/>
                <w:highlight w:val="none"/>
                <w:lang w:val="en-US" w:eastAsia="zh-CN"/>
              </w:rPr>
              <w:t>0-5分</w:t>
            </w:r>
          </w:p>
        </w:tc>
      </w:tr>
      <w:tr w14:paraId="669E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0F887164">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00BD97BF">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产品售后服务</w:t>
            </w:r>
          </w:p>
        </w:tc>
        <w:tc>
          <w:tcPr>
            <w:tcW w:w="4788" w:type="dxa"/>
            <w:shd w:val="clear" w:color="auto" w:fill="auto"/>
            <w:vAlign w:val="center"/>
          </w:tcPr>
          <w:p w14:paraId="30356C2B">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评标委员会依据投标人投标文件中提供的售后服务管理制度、保障措施、维保方式、维保内容、时间保证、售后人员配备等情况综合评分：</w:t>
            </w:r>
          </w:p>
          <w:p w14:paraId="65A5E84F">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（1）方案内容详实、表述清晰，售后服务管理制度完善</w:t>
            </w:r>
            <w:r>
              <w:rPr>
                <w:rFonts w:hint="eastAsia" w:asciiTheme="minorEastAsia" w:hAnsiTheme="minorEastAsia" w:cstheme="minorEastAsia"/>
                <w:bCs/>
                <w:color w:val="auto"/>
                <w:sz w:val="21"/>
                <w:szCs w:val="21"/>
                <w:highlight w:val="none"/>
                <w:lang w:eastAsia="zh-CN"/>
              </w:rPr>
              <w:t>，具</w:t>
            </w:r>
            <w:r>
              <w:rPr>
                <w:rFonts w:hint="eastAsia" w:asciiTheme="minorEastAsia" w:hAnsiTheme="minorEastAsia" w:eastAsiaTheme="minorEastAsia" w:cstheme="minorEastAsia"/>
                <w:bCs/>
                <w:color w:val="auto"/>
                <w:sz w:val="21"/>
                <w:szCs w:val="21"/>
                <w:highlight w:val="none"/>
              </w:rPr>
              <w:t>有具体切实可行的保障措施，售后人员配备充足、故障响应</w:t>
            </w:r>
            <w:r>
              <w:rPr>
                <w:rFonts w:hint="eastAsia" w:asciiTheme="minorEastAsia" w:hAnsiTheme="minorEastAsia" w:cstheme="minorEastAsia"/>
                <w:bCs/>
                <w:color w:val="auto"/>
                <w:sz w:val="21"/>
                <w:szCs w:val="21"/>
                <w:highlight w:val="none"/>
                <w:lang w:eastAsia="zh-CN"/>
              </w:rPr>
              <w:t>时间</w:t>
            </w:r>
            <w:r>
              <w:rPr>
                <w:rFonts w:hint="eastAsia" w:asciiTheme="minorEastAsia" w:hAnsiTheme="minorEastAsia" w:eastAsiaTheme="minorEastAsia" w:cstheme="minorEastAsia"/>
                <w:bCs/>
                <w:color w:val="auto"/>
                <w:sz w:val="21"/>
                <w:szCs w:val="21"/>
                <w:highlight w:val="none"/>
              </w:rPr>
              <w:t>保证充分满足采购人使用要求，</w:t>
            </w:r>
            <w:r>
              <w:rPr>
                <w:rFonts w:hint="eastAsia" w:asciiTheme="minorEastAsia" w:hAnsiTheme="minorEastAsia" w:eastAsiaTheme="minorEastAsia" w:cstheme="minorEastAsia"/>
                <w:color w:val="auto"/>
                <w:sz w:val="21"/>
                <w:szCs w:val="21"/>
                <w:highlight w:val="none"/>
              </w:rPr>
              <w:t>售后服务针对性强</w:t>
            </w:r>
            <w:r>
              <w:rPr>
                <w:rFonts w:hint="eastAsia" w:asciiTheme="minorEastAsia" w:hAnsiTheme="minorEastAsia" w:eastAsiaTheme="minorEastAsia" w:cstheme="minorEastAsia"/>
                <w:bCs/>
                <w:color w:val="auto"/>
                <w:sz w:val="21"/>
                <w:szCs w:val="21"/>
                <w:highlight w:val="none"/>
              </w:rPr>
              <w:t>，得5分；</w:t>
            </w:r>
          </w:p>
          <w:p w14:paraId="09579366">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（2）方案内容完整，售后服务管理制度基本完善，有保障措施，响应</w:t>
            </w:r>
            <w:r>
              <w:rPr>
                <w:rFonts w:hint="eastAsia" w:asciiTheme="minorEastAsia" w:hAnsiTheme="minorEastAsia" w:eastAsiaTheme="minorEastAsia" w:cstheme="minorEastAsia"/>
                <w:color w:val="auto"/>
                <w:sz w:val="21"/>
                <w:szCs w:val="21"/>
                <w:highlight w:val="none"/>
              </w:rPr>
              <w:t>时间保证符合采购人使用要求，</w:t>
            </w:r>
            <w:r>
              <w:rPr>
                <w:rFonts w:hint="eastAsia" w:asciiTheme="minorEastAsia" w:hAnsiTheme="minorEastAsia" w:eastAsiaTheme="minorEastAsia" w:cstheme="minorEastAsia"/>
                <w:bCs/>
                <w:color w:val="auto"/>
                <w:sz w:val="21"/>
                <w:szCs w:val="21"/>
                <w:highlight w:val="none"/>
              </w:rPr>
              <w:t>配备售后服务人员的，具有针对性的，得3分；</w:t>
            </w:r>
          </w:p>
          <w:p w14:paraId="47858384">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（3）方案内容简略，售后服务管理制度有待改进，售后服务整体方案有待完善的，实用性、针对性有待改善的，得1分；</w:t>
            </w:r>
          </w:p>
          <w:p w14:paraId="488E8631">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（4）未提供的，不得分。</w:t>
            </w:r>
          </w:p>
        </w:tc>
        <w:tc>
          <w:tcPr>
            <w:tcW w:w="1683" w:type="dxa"/>
            <w:vAlign w:val="center"/>
          </w:tcPr>
          <w:p w14:paraId="45328651">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0-5分</w:t>
            </w:r>
          </w:p>
        </w:tc>
      </w:tr>
      <w:tr w14:paraId="7D44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Merge w:val="continue"/>
            <w:vAlign w:val="center"/>
          </w:tcPr>
          <w:p w14:paraId="5D65997D">
            <w:pPr>
              <w:spacing w:line="360" w:lineRule="auto"/>
              <w:ind w:firstLine="435"/>
              <w:jc w:val="center"/>
              <w:rPr>
                <w:rFonts w:hint="eastAsia" w:asciiTheme="minorEastAsia" w:hAnsiTheme="minorEastAsia" w:eastAsiaTheme="minorEastAsia" w:cstheme="minorEastAsia"/>
                <w:b/>
                <w:bCs/>
                <w:color w:val="auto"/>
                <w:sz w:val="21"/>
                <w:szCs w:val="21"/>
                <w:highlight w:val="none"/>
              </w:rPr>
            </w:pPr>
          </w:p>
        </w:tc>
        <w:tc>
          <w:tcPr>
            <w:tcW w:w="1767" w:type="dxa"/>
            <w:shd w:val="clear" w:color="auto" w:fill="auto"/>
            <w:vAlign w:val="center"/>
          </w:tcPr>
          <w:p w14:paraId="55B6102B">
            <w:pPr>
              <w:spacing w:line="360" w:lineRule="auto"/>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技术培训</w:t>
            </w:r>
          </w:p>
          <w:p w14:paraId="29D82E85">
            <w:pPr>
              <w:spacing w:line="360" w:lineRule="auto"/>
              <w:jc w:val="center"/>
              <w:rPr>
                <w:rFonts w:hint="eastAsia" w:asciiTheme="minorEastAsia" w:hAnsiTheme="minorEastAsia" w:eastAsiaTheme="minorEastAsia" w:cstheme="minorEastAsia"/>
                <w:bCs/>
                <w:color w:val="auto"/>
                <w:sz w:val="21"/>
                <w:szCs w:val="21"/>
                <w:highlight w:val="none"/>
              </w:rPr>
            </w:pPr>
          </w:p>
        </w:tc>
        <w:tc>
          <w:tcPr>
            <w:tcW w:w="4788" w:type="dxa"/>
            <w:shd w:val="clear" w:color="auto" w:fill="auto"/>
            <w:vAlign w:val="center"/>
          </w:tcPr>
          <w:p w14:paraId="1A739EF6">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评标委员会依据投标人投标文件中提供的培训方案进行评审，方案包括但不限于：培训时间、地点、内容(含产品功能、技术原理、操作方法、基本维护、安全注意事项等)培训方式等情况综合评分：</w:t>
            </w:r>
          </w:p>
          <w:p w14:paraId="0FF5C9F2">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（1）对本项目的特点和难点理解准确，，技术培训方案全面清晰，针对性和操作性完善，培训安排及形式充分满足采购人需求，能够</w:t>
            </w:r>
            <w:r>
              <w:rPr>
                <w:rFonts w:hint="eastAsia" w:asciiTheme="minorEastAsia" w:hAnsiTheme="minorEastAsia" w:eastAsiaTheme="minorEastAsia" w:cstheme="minorEastAsia"/>
                <w:color w:val="auto"/>
                <w:sz w:val="21"/>
                <w:szCs w:val="21"/>
                <w:highlight w:val="none"/>
              </w:rPr>
              <w:t>及时为采购人解决操作过程中问题</w:t>
            </w:r>
            <w:r>
              <w:rPr>
                <w:rFonts w:hint="eastAsia" w:asciiTheme="minorEastAsia" w:hAnsiTheme="minorEastAsia" w:eastAsiaTheme="minorEastAsia" w:cstheme="minorEastAsia"/>
                <w:bCs/>
                <w:color w:val="auto"/>
                <w:sz w:val="21"/>
                <w:szCs w:val="21"/>
                <w:highlight w:val="none"/>
              </w:rPr>
              <w:t>的，实用性、针对性强，得5分；</w:t>
            </w:r>
          </w:p>
          <w:p w14:paraId="72EACEAF">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（2）对本项目的特点和难点理解基本准确，技术培训方案较为完整详细，具有可行性、实用性和针对性，能够满足采购人后期操作产品要求的，得3分；</w:t>
            </w:r>
          </w:p>
          <w:p w14:paraId="6BA527B4">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（3）对本项目的特点和难点理解有待提升，提供本项目技术培训方案，但有所欠缺的，实用性、针对性有待改善的得1分；</w:t>
            </w:r>
          </w:p>
          <w:p w14:paraId="65EFCC71">
            <w:pPr>
              <w:spacing w:line="360" w:lineRule="auto"/>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（4）未提供方案的不得分。</w:t>
            </w:r>
          </w:p>
        </w:tc>
        <w:tc>
          <w:tcPr>
            <w:tcW w:w="1683" w:type="dxa"/>
            <w:vAlign w:val="center"/>
          </w:tcPr>
          <w:p w14:paraId="1FA1A36B">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0-5分</w:t>
            </w:r>
          </w:p>
        </w:tc>
      </w:tr>
      <w:tr w14:paraId="7215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4A53B10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价格分</w:t>
            </w:r>
          </w:p>
          <w:p w14:paraId="46565B69">
            <w:pPr>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30  </w:t>
            </w:r>
            <w:r>
              <w:rPr>
                <w:rFonts w:hint="eastAsia" w:asciiTheme="minorEastAsia" w:hAnsiTheme="minorEastAsia" w:eastAsiaTheme="minorEastAsia" w:cstheme="minorEastAsia"/>
                <w:color w:val="auto"/>
                <w:sz w:val="21"/>
                <w:szCs w:val="21"/>
                <w:highlight w:val="none"/>
                <w:u w:val="none"/>
                <w:lang w:val="en-US" w:eastAsia="zh-CN"/>
              </w:rPr>
              <w:t xml:space="preserve"> </w:t>
            </w:r>
            <w:r>
              <w:rPr>
                <w:rFonts w:hint="eastAsia" w:asciiTheme="minorEastAsia" w:hAnsiTheme="minorEastAsia" w:eastAsiaTheme="minorEastAsia" w:cstheme="minorEastAsia"/>
                <w:color w:val="auto"/>
                <w:sz w:val="21"/>
                <w:szCs w:val="21"/>
                <w:highlight w:val="none"/>
              </w:rPr>
              <w:t>分）</w:t>
            </w:r>
          </w:p>
        </w:tc>
        <w:tc>
          <w:tcPr>
            <w:tcW w:w="8238" w:type="dxa"/>
            <w:gridSpan w:val="3"/>
            <w:vAlign w:val="center"/>
          </w:tcPr>
          <w:p w14:paraId="780FF56B">
            <w:pPr>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stheme="minorEastAsia"/>
                <w:color w:val="auto"/>
                <w:sz w:val="21"/>
                <w:szCs w:val="21"/>
                <w:highlight w:val="none"/>
                <w:u w:val="single"/>
                <w:lang w:val="en-US" w:eastAsia="zh-CN"/>
              </w:rPr>
              <w:t>30</w:t>
            </w:r>
            <w:r>
              <w:rPr>
                <w:rFonts w:hint="eastAsia" w:asciiTheme="minorEastAsia" w:hAnsiTheme="minorEastAsia" w:eastAsiaTheme="minorEastAsia" w:cstheme="minorEastAsia"/>
                <w:color w:val="auto"/>
                <w:sz w:val="21"/>
                <w:szCs w:val="21"/>
                <w:highlight w:val="none"/>
              </w:rPr>
              <w:t>分。其他投标人的价格分统一按照下列公式计算：</w:t>
            </w:r>
          </w:p>
          <w:p w14:paraId="7456EC38">
            <w:pPr>
              <w:spacing w:line="360" w:lineRule="auto"/>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投标报价得分＝（评标基准价/投标报价）×</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cstheme="minorEastAsia"/>
                <w:color w:val="auto"/>
                <w:sz w:val="21"/>
                <w:szCs w:val="21"/>
                <w:highlight w:val="none"/>
                <w:u w:val="single"/>
                <w:lang w:val="en-US" w:eastAsia="zh-CN"/>
              </w:rPr>
              <w:t>30</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％×100</w:t>
            </w:r>
            <w:r>
              <w:rPr>
                <w:rFonts w:hint="eastAsia" w:asciiTheme="minorEastAsia" w:hAnsiTheme="minorEastAsia" w:eastAsiaTheme="minorEastAsia" w:cstheme="minorEastAsia"/>
                <w:color w:val="auto"/>
                <w:sz w:val="21"/>
                <w:szCs w:val="21"/>
                <w:highlight w:val="none"/>
                <w:lang w:eastAsia="zh-CN"/>
              </w:rPr>
              <w:t>。</w:t>
            </w:r>
          </w:p>
        </w:tc>
      </w:tr>
    </w:tbl>
    <w:p w14:paraId="4F768E27">
      <w:pPr>
        <w:numPr>
          <w:ilvl w:val="0"/>
          <w:numId w:val="0"/>
        </w:numPr>
        <w:spacing w:line="400" w:lineRule="exact"/>
        <w:rPr>
          <w:rFonts w:hint="eastAsia" w:asciiTheme="minorEastAsia" w:hAnsiTheme="minorEastAsia" w:eastAsiaTheme="minorEastAsia" w:cstheme="minorEastAsia"/>
          <w:color w:val="auto"/>
          <w:sz w:val="21"/>
          <w:szCs w:val="21"/>
          <w:highlight w:val="none"/>
        </w:rPr>
      </w:pPr>
    </w:p>
    <w:p w14:paraId="65BA600D">
      <w:pPr>
        <w:numPr>
          <w:ilvl w:val="0"/>
          <w:numId w:val="0"/>
        </w:numPr>
        <w:spacing w:line="400" w:lineRule="exact"/>
        <w:rPr>
          <w:rFonts w:hint="eastAsia" w:asciiTheme="minorEastAsia" w:hAnsiTheme="minorEastAsia" w:eastAsiaTheme="minorEastAsia" w:cstheme="minorEastAsia"/>
          <w:color w:val="auto"/>
          <w:sz w:val="21"/>
          <w:szCs w:val="21"/>
          <w:highlight w:val="none"/>
        </w:rPr>
      </w:pPr>
    </w:p>
    <w:p w14:paraId="0447A072">
      <w:pPr>
        <w:numPr>
          <w:ilvl w:val="0"/>
          <w:numId w:val="0"/>
        </w:numPr>
        <w:spacing w:line="400" w:lineRule="exact"/>
        <w:rPr>
          <w:rFonts w:hint="eastAsia" w:asciiTheme="minorEastAsia" w:hAnsiTheme="minorEastAsia" w:eastAsiaTheme="minorEastAsia" w:cstheme="minorEastAsia"/>
          <w:color w:val="auto"/>
          <w:sz w:val="21"/>
          <w:szCs w:val="21"/>
          <w:highlight w:val="none"/>
        </w:rPr>
      </w:pPr>
    </w:p>
    <w:p w14:paraId="01A4D0B9">
      <w:pPr>
        <w:numPr>
          <w:ilvl w:val="0"/>
          <w:numId w:val="0"/>
        </w:numPr>
        <w:spacing w:line="400" w:lineRule="exact"/>
        <w:rPr>
          <w:rFonts w:hint="eastAsia" w:asciiTheme="minorEastAsia" w:hAnsiTheme="minorEastAsia" w:eastAsiaTheme="minorEastAsia" w:cstheme="minorEastAsia"/>
          <w:color w:val="auto"/>
          <w:sz w:val="21"/>
          <w:szCs w:val="21"/>
          <w:highlight w:val="none"/>
        </w:rPr>
      </w:pPr>
    </w:p>
    <w:p w14:paraId="2D705EB4">
      <w:pPr>
        <w:pStyle w:val="3"/>
        <w:numPr>
          <w:ilvl w:val="0"/>
          <w:numId w:val="0"/>
        </w:numP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第二包：评审办法</w:t>
      </w:r>
    </w:p>
    <w:tbl>
      <w:tblPr>
        <w:tblStyle w:val="13"/>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9"/>
        <w:gridCol w:w="1425"/>
        <w:gridCol w:w="6355"/>
        <w:gridCol w:w="638"/>
      </w:tblGrid>
      <w:tr w14:paraId="54BF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639" w:type="dxa"/>
            <w:shd w:val="clear" w:color="auto" w:fill="auto"/>
            <w:vAlign w:val="center"/>
          </w:tcPr>
          <w:p w14:paraId="08CEE8A5">
            <w:pPr>
              <w:keepNext w:val="0"/>
              <w:keepLines w:val="0"/>
              <w:widowControl/>
              <w:suppressLineNumbers w:val="0"/>
              <w:spacing w:line="440" w:lineRule="exact"/>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类别</w:t>
            </w:r>
          </w:p>
        </w:tc>
        <w:tc>
          <w:tcPr>
            <w:tcW w:w="1425" w:type="dxa"/>
            <w:shd w:val="clear" w:color="auto" w:fill="auto"/>
            <w:vAlign w:val="center"/>
          </w:tcPr>
          <w:p w14:paraId="7918A941">
            <w:pPr>
              <w:keepNext w:val="0"/>
              <w:keepLines w:val="0"/>
              <w:widowControl/>
              <w:suppressLineNumbers w:val="0"/>
              <w:spacing w:line="440" w:lineRule="exact"/>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评分内容</w:t>
            </w:r>
          </w:p>
        </w:tc>
        <w:tc>
          <w:tcPr>
            <w:tcW w:w="6355" w:type="dxa"/>
            <w:shd w:val="clear" w:color="auto" w:fill="auto"/>
            <w:noWrap/>
            <w:vAlign w:val="center"/>
          </w:tcPr>
          <w:p w14:paraId="01B19D0E">
            <w:pPr>
              <w:keepNext w:val="0"/>
              <w:keepLines w:val="0"/>
              <w:widowControl/>
              <w:suppressLineNumbers w:val="0"/>
              <w:spacing w:line="440" w:lineRule="exact"/>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评分标准</w:t>
            </w:r>
          </w:p>
        </w:tc>
        <w:tc>
          <w:tcPr>
            <w:tcW w:w="638" w:type="dxa"/>
            <w:shd w:val="clear" w:color="auto" w:fill="auto"/>
            <w:noWrap/>
            <w:vAlign w:val="center"/>
          </w:tcPr>
          <w:p w14:paraId="30D74ECF">
            <w:pPr>
              <w:keepNext w:val="0"/>
              <w:keepLines w:val="0"/>
              <w:widowControl/>
              <w:suppressLineNumbers w:val="0"/>
              <w:spacing w:line="440" w:lineRule="exact"/>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分值</w:t>
            </w:r>
          </w:p>
        </w:tc>
      </w:tr>
      <w:tr w14:paraId="6055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0" w:hRule="atLeast"/>
        </w:trPr>
        <w:tc>
          <w:tcPr>
            <w:tcW w:w="639" w:type="dxa"/>
            <w:vMerge w:val="restart"/>
            <w:shd w:val="clear" w:color="auto" w:fill="auto"/>
            <w:vAlign w:val="center"/>
          </w:tcPr>
          <w:p w14:paraId="2450EB64">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技术资信分</w:t>
            </w:r>
          </w:p>
          <w:p w14:paraId="149EC0DF">
            <w:pPr>
              <w:spacing w:line="440" w:lineRule="exact"/>
              <w:jc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70  </w:t>
            </w:r>
            <w:r>
              <w:rPr>
                <w:rFonts w:hint="eastAsia" w:ascii="宋体" w:hAnsi="宋体" w:eastAsia="宋体" w:cs="宋体"/>
                <w:color w:val="auto"/>
                <w:sz w:val="21"/>
                <w:szCs w:val="21"/>
                <w:highlight w:val="none"/>
              </w:rPr>
              <w:t>分）</w:t>
            </w:r>
          </w:p>
        </w:tc>
        <w:tc>
          <w:tcPr>
            <w:tcW w:w="1425" w:type="dxa"/>
            <w:shd w:val="clear" w:color="auto" w:fill="auto"/>
            <w:vAlign w:val="center"/>
          </w:tcPr>
          <w:p w14:paraId="57BC2AEF">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技术参数及要求的响应情况</w:t>
            </w:r>
          </w:p>
        </w:tc>
        <w:tc>
          <w:tcPr>
            <w:tcW w:w="6355" w:type="dxa"/>
            <w:shd w:val="clear" w:color="auto" w:fill="auto"/>
            <w:vAlign w:val="center"/>
          </w:tcPr>
          <w:p w14:paraId="4227F8F2">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评标委员会根据投标人提供的技术参数响应情况进行评分：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采购需求技术参数标“</w:t>
            </w:r>
            <w:r>
              <w:rPr>
                <w:rFonts w:hint="eastAsia" w:ascii="宋体" w:hAnsi="宋体" w:eastAsia="宋体" w:cs="宋体"/>
                <w:b w:val="0"/>
                <w:bCs/>
                <w:color w:val="auto"/>
                <w:kern w:val="2"/>
                <w:sz w:val="21"/>
                <w:szCs w:val="21"/>
                <w:highlight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”号项（共 8项）完全满足或优于采购需求要求的,每满足一项得 4分，本小项满分 32 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Cs/>
                <w:color w:val="auto"/>
                <w:sz w:val="21"/>
                <w:szCs w:val="21"/>
                <w:highlight w:val="none"/>
              </w:rPr>
              <w:t>注：以投标响应表及采购需求中要求提供的证明材料作为评审依据。</w:t>
            </w:r>
          </w:p>
        </w:tc>
        <w:tc>
          <w:tcPr>
            <w:tcW w:w="638" w:type="dxa"/>
            <w:shd w:val="clear" w:color="auto" w:fill="auto"/>
            <w:noWrap/>
            <w:vAlign w:val="center"/>
          </w:tcPr>
          <w:p w14:paraId="395C14C0">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32</w:t>
            </w:r>
          </w:p>
        </w:tc>
      </w:tr>
      <w:tr w14:paraId="5A52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9" w:hRule="atLeast"/>
        </w:trPr>
        <w:tc>
          <w:tcPr>
            <w:tcW w:w="639" w:type="dxa"/>
            <w:vMerge w:val="continue"/>
            <w:shd w:val="clear" w:color="auto" w:fill="auto"/>
            <w:vAlign w:val="center"/>
          </w:tcPr>
          <w:p w14:paraId="58FEDA7D">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557AC695">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项目实施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方案</w:t>
            </w:r>
          </w:p>
        </w:tc>
        <w:tc>
          <w:tcPr>
            <w:tcW w:w="6355" w:type="dxa"/>
            <w:shd w:val="clear" w:color="auto" w:fill="auto"/>
            <w:vAlign w:val="center"/>
          </w:tcPr>
          <w:p w14:paraId="4EE58B1F">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投标人提供的项目实施方案中，能够制定针对本项目的实施流程，并对项目团队的实施活动进行规范，提供实施规范。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投标人根据采购需求编制的项目培训方案，由评标小组进行综合评分，至少包含下列内容: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①实施计划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②验收计划</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③质量保证措施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（1）方案详细，可实施性及针对性高，得5分；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（2）方案较为详细，具有可实施性、针对性的，得3分；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（3）方案不详细，可实施性、针对性有待提供的，得1分；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（4）方案未提供的，不得分。</w:t>
            </w:r>
          </w:p>
        </w:tc>
        <w:tc>
          <w:tcPr>
            <w:tcW w:w="638" w:type="dxa"/>
            <w:shd w:val="clear" w:color="auto" w:fill="auto"/>
            <w:noWrap/>
            <w:vAlign w:val="center"/>
          </w:tcPr>
          <w:p w14:paraId="39654FEF">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r>
      <w:tr w14:paraId="5518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0" w:hRule="atLeast"/>
        </w:trPr>
        <w:tc>
          <w:tcPr>
            <w:tcW w:w="639" w:type="dxa"/>
            <w:vMerge w:val="continue"/>
            <w:shd w:val="clear" w:color="auto" w:fill="auto"/>
            <w:vAlign w:val="center"/>
          </w:tcPr>
          <w:p w14:paraId="1F7C866D">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078966DE">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项目培训方案</w:t>
            </w:r>
          </w:p>
        </w:tc>
        <w:tc>
          <w:tcPr>
            <w:tcW w:w="6355" w:type="dxa"/>
            <w:shd w:val="clear" w:color="auto" w:fill="auto"/>
            <w:vAlign w:val="center"/>
          </w:tcPr>
          <w:p w14:paraId="067641A6">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投标人根据采购需求编制的项目培训方案，由评标小组进行综合评分，至少包含下列内容: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①培训目标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②培训方式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③培训内容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（1）方案思路清晰完整，契合项目需求、切实可行，针对性强的，得5分；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（2）方案较为完整，具有可行性、针对性的，得3分；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（3）方案基本符合项目需求，细节有待完善的，可行性、针对性有待提升的得1分；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（4）未提供的，不得分。</w:t>
            </w:r>
          </w:p>
        </w:tc>
        <w:tc>
          <w:tcPr>
            <w:tcW w:w="638" w:type="dxa"/>
            <w:shd w:val="clear" w:color="auto" w:fill="auto"/>
            <w:noWrap/>
            <w:vAlign w:val="center"/>
          </w:tcPr>
          <w:p w14:paraId="03F18177">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r>
      <w:tr w14:paraId="4E91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0" w:hRule="atLeast"/>
        </w:trPr>
        <w:tc>
          <w:tcPr>
            <w:tcW w:w="639" w:type="dxa"/>
            <w:vMerge w:val="continue"/>
            <w:shd w:val="clear" w:color="auto" w:fill="auto"/>
            <w:vAlign w:val="center"/>
          </w:tcPr>
          <w:p w14:paraId="402AAA09">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2634CD23">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售后服务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方案</w:t>
            </w:r>
          </w:p>
        </w:tc>
        <w:tc>
          <w:tcPr>
            <w:tcW w:w="6355" w:type="dxa"/>
            <w:shd w:val="clear" w:color="auto" w:fill="auto"/>
            <w:vAlign w:val="center"/>
          </w:tcPr>
          <w:p w14:paraId="18D36EE6">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投标人根据采购需求编制的售后服务方案，由评标小组进行综合评分，至少包含下列内容: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①服务内容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②服务管理制度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③服务人员配备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④响应时间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⑤故障处理措施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（1）方案思路清晰完整，契合项目需求、切实可行，针对性强的，得5分；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（2）方案较为完整，具有一定可行性、针对性的，得3分；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（3）方案基本符合项目需求，细节有待完善的，可行性、针对性有待提升的得1分；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（4）未提供的，不得分。</w:t>
            </w:r>
          </w:p>
        </w:tc>
        <w:tc>
          <w:tcPr>
            <w:tcW w:w="638" w:type="dxa"/>
            <w:shd w:val="clear" w:color="auto" w:fill="auto"/>
            <w:noWrap/>
            <w:vAlign w:val="center"/>
          </w:tcPr>
          <w:p w14:paraId="003FFDA5">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r>
      <w:tr w14:paraId="0754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0" w:hRule="atLeast"/>
        </w:trPr>
        <w:tc>
          <w:tcPr>
            <w:tcW w:w="639" w:type="dxa"/>
            <w:vMerge w:val="continue"/>
            <w:shd w:val="clear" w:color="auto" w:fill="auto"/>
            <w:vAlign w:val="center"/>
          </w:tcPr>
          <w:p w14:paraId="08C5AF27">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3B426BCF">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应急服务方案</w:t>
            </w:r>
          </w:p>
        </w:tc>
        <w:tc>
          <w:tcPr>
            <w:tcW w:w="6355" w:type="dxa"/>
            <w:shd w:val="clear" w:color="auto" w:fill="auto"/>
            <w:vAlign w:val="center"/>
          </w:tcPr>
          <w:p w14:paraId="7B12E8ED">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投标人根据采购需求编制的应急处理方案，由评标小组进行综合评分，至少包含下列内容:</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①应急故障分类；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②应急响应；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③应急处理。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（1）方案思路清晰完整，契合项目需求、切实可行的，针对性强的得5分；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（2）方案较为完整，具有一定可行性、针对性的，得3分；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（3）方案基本符合项目需求，细节有待完善的，可行性、针对性有待提升的得1分；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（4）未提供的，不得分。</w:t>
            </w:r>
          </w:p>
        </w:tc>
        <w:tc>
          <w:tcPr>
            <w:tcW w:w="638" w:type="dxa"/>
            <w:shd w:val="clear" w:color="auto" w:fill="auto"/>
            <w:noWrap/>
            <w:vAlign w:val="center"/>
          </w:tcPr>
          <w:p w14:paraId="596E5D31">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r>
      <w:tr w14:paraId="6959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0" w:hRule="atLeast"/>
        </w:trPr>
        <w:tc>
          <w:tcPr>
            <w:tcW w:w="639" w:type="dxa"/>
            <w:vMerge w:val="continue"/>
            <w:shd w:val="clear" w:color="auto" w:fill="auto"/>
            <w:vAlign w:val="center"/>
          </w:tcPr>
          <w:p w14:paraId="331F3036">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2EEB2BAE">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体系认证</w:t>
            </w:r>
          </w:p>
        </w:tc>
        <w:tc>
          <w:tcPr>
            <w:tcW w:w="6355" w:type="dxa"/>
            <w:shd w:val="clear" w:color="auto" w:fill="auto"/>
            <w:vAlign w:val="center"/>
          </w:tcPr>
          <w:p w14:paraId="69E1C51C">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Style w:val="17"/>
                <w:rFonts w:ascii="宋体" w:hAnsi="宋体" w:eastAsia="宋体" w:cs="宋体"/>
                <w:color w:val="auto"/>
                <w:sz w:val="21"/>
                <w:szCs w:val="21"/>
                <w:highlight w:val="none"/>
                <w:lang w:val="en-US" w:eastAsia="zh-CN" w:bidi="ar"/>
              </w:rPr>
              <w:t>投标人具有经中国国家认证认可监督管理委员会认证机构颁发有效的下列认证，每提供1个认证得</w:t>
            </w:r>
            <w:r>
              <w:rPr>
                <w:rStyle w:val="17"/>
                <w:rFonts w:hint="eastAsia" w:ascii="宋体" w:hAnsi="宋体" w:eastAsia="宋体" w:cs="宋体"/>
                <w:color w:val="auto"/>
                <w:sz w:val="21"/>
                <w:szCs w:val="21"/>
                <w:highlight w:val="none"/>
                <w:lang w:val="en-US" w:eastAsia="zh-CN" w:bidi="ar"/>
              </w:rPr>
              <w:t>2</w:t>
            </w:r>
            <w:r>
              <w:rPr>
                <w:rStyle w:val="17"/>
                <w:rFonts w:ascii="宋体" w:hAnsi="宋体" w:eastAsia="宋体" w:cs="宋体"/>
                <w:color w:val="auto"/>
                <w:sz w:val="21"/>
                <w:szCs w:val="21"/>
                <w:highlight w:val="none"/>
                <w:lang w:val="en-US" w:eastAsia="zh-CN" w:bidi="ar"/>
              </w:rPr>
              <w:t>分，满分</w:t>
            </w:r>
            <w:r>
              <w:rPr>
                <w:rStyle w:val="17"/>
                <w:rFonts w:hint="eastAsia" w:ascii="宋体" w:hAnsi="宋体" w:eastAsia="宋体" w:cs="宋体"/>
                <w:color w:val="auto"/>
                <w:sz w:val="21"/>
                <w:szCs w:val="21"/>
                <w:highlight w:val="none"/>
                <w:lang w:val="en-US" w:eastAsia="zh-CN" w:bidi="ar"/>
              </w:rPr>
              <w:t>6</w:t>
            </w:r>
            <w:r>
              <w:rPr>
                <w:rStyle w:val="17"/>
                <w:rFonts w:ascii="宋体" w:hAnsi="宋体" w:eastAsia="宋体" w:cs="宋体"/>
                <w:color w:val="auto"/>
                <w:sz w:val="21"/>
                <w:szCs w:val="21"/>
                <w:highlight w:val="none"/>
                <w:lang w:val="en-US" w:eastAsia="zh-CN" w:bidi="ar"/>
              </w:rPr>
              <w:t>分：</w:t>
            </w:r>
            <w:r>
              <w:rPr>
                <w:rStyle w:val="17"/>
                <w:rFonts w:ascii="宋体" w:hAnsi="宋体" w:eastAsia="宋体" w:cs="宋体"/>
                <w:color w:val="auto"/>
                <w:sz w:val="21"/>
                <w:szCs w:val="21"/>
                <w:highlight w:val="none"/>
                <w:lang w:val="en-US" w:eastAsia="zh-CN" w:bidi="ar"/>
              </w:rPr>
              <w:br w:type="textWrapping"/>
            </w:r>
            <w:r>
              <w:rPr>
                <w:rStyle w:val="17"/>
                <w:rFonts w:ascii="宋体" w:hAnsi="宋体" w:eastAsia="宋体" w:cs="宋体"/>
                <w:color w:val="auto"/>
                <w:sz w:val="21"/>
                <w:szCs w:val="21"/>
                <w:highlight w:val="none"/>
                <w:lang w:val="en-US" w:eastAsia="zh-CN" w:bidi="ar"/>
              </w:rPr>
              <w:t>（1）质量管理体系认证证书；</w:t>
            </w:r>
            <w:r>
              <w:rPr>
                <w:rStyle w:val="17"/>
                <w:rFonts w:ascii="宋体" w:hAnsi="宋体" w:eastAsia="宋体" w:cs="宋体"/>
                <w:color w:val="auto"/>
                <w:sz w:val="21"/>
                <w:szCs w:val="21"/>
                <w:highlight w:val="none"/>
                <w:lang w:val="en-US" w:eastAsia="zh-CN" w:bidi="ar"/>
              </w:rPr>
              <w:br w:type="textWrapping"/>
            </w:r>
            <w:r>
              <w:rPr>
                <w:rStyle w:val="17"/>
                <w:rFonts w:ascii="宋体" w:hAnsi="宋体" w:eastAsia="宋体" w:cs="宋体"/>
                <w:color w:val="auto"/>
                <w:sz w:val="21"/>
                <w:szCs w:val="21"/>
                <w:highlight w:val="none"/>
                <w:lang w:val="en-US" w:eastAsia="zh-CN" w:bidi="ar"/>
              </w:rPr>
              <w:t>（2）环境管理体系认证证书；</w:t>
            </w:r>
            <w:r>
              <w:rPr>
                <w:rStyle w:val="17"/>
                <w:rFonts w:ascii="宋体" w:hAnsi="宋体" w:eastAsia="宋体" w:cs="宋体"/>
                <w:color w:val="auto"/>
                <w:sz w:val="21"/>
                <w:szCs w:val="21"/>
                <w:highlight w:val="none"/>
                <w:lang w:val="en-US" w:eastAsia="zh-CN" w:bidi="ar"/>
              </w:rPr>
              <w:br w:type="textWrapping"/>
            </w:r>
            <w:r>
              <w:rPr>
                <w:rStyle w:val="17"/>
                <w:rFonts w:ascii="宋体" w:hAnsi="宋体" w:eastAsia="宋体" w:cs="宋体"/>
                <w:color w:val="auto"/>
                <w:sz w:val="21"/>
                <w:szCs w:val="21"/>
                <w:highlight w:val="none"/>
                <w:lang w:val="en-US" w:eastAsia="zh-CN" w:bidi="ar"/>
              </w:rPr>
              <w:t>（3）职业健康安全管理体系认证证书；</w:t>
            </w:r>
            <w:r>
              <w:rPr>
                <w:rStyle w:val="17"/>
                <w:rFonts w:ascii="宋体" w:hAnsi="宋体" w:eastAsia="宋体" w:cs="宋体"/>
                <w:color w:val="auto"/>
                <w:sz w:val="21"/>
                <w:szCs w:val="21"/>
                <w:highlight w:val="none"/>
                <w:lang w:val="en-US" w:eastAsia="zh-CN" w:bidi="ar"/>
              </w:rPr>
              <w:br w:type="textWrapping"/>
            </w:r>
            <w:r>
              <w:rPr>
                <w:rStyle w:val="18"/>
                <w:rFonts w:ascii="宋体" w:hAnsi="宋体" w:eastAsia="宋体" w:cs="宋体"/>
                <w:color w:val="auto"/>
                <w:sz w:val="21"/>
                <w:szCs w:val="21"/>
                <w:highlight w:val="none"/>
                <w:lang w:val="en-US" w:eastAsia="zh-CN" w:bidi="ar"/>
              </w:rPr>
              <w:t>注：投标文件中提供全国认证认可信息公共服务平台官网认证信息查询截图扫描件，不提供的不得分。</w:t>
            </w:r>
          </w:p>
        </w:tc>
        <w:tc>
          <w:tcPr>
            <w:tcW w:w="638" w:type="dxa"/>
            <w:shd w:val="clear" w:color="auto" w:fill="auto"/>
            <w:noWrap/>
            <w:vAlign w:val="center"/>
          </w:tcPr>
          <w:p w14:paraId="572DE932">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r>
      <w:tr w14:paraId="6F6C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39" w:type="dxa"/>
            <w:vMerge w:val="continue"/>
            <w:shd w:val="clear" w:color="auto" w:fill="auto"/>
            <w:vAlign w:val="center"/>
          </w:tcPr>
          <w:p w14:paraId="01EEAA95">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04BA3E93">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项目团队</w:t>
            </w:r>
          </w:p>
        </w:tc>
        <w:tc>
          <w:tcPr>
            <w:tcW w:w="6355" w:type="dxa"/>
            <w:shd w:val="clear" w:color="auto" w:fill="auto"/>
            <w:vAlign w:val="center"/>
          </w:tcPr>
          <w:p w14:paraId="5EBD1830">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000000"/>
                <w:sz w:val="21"/>
                <w:szCs w:val="21"/>
              </w:rPr>
              <w:t>1、投标人为本项目拟配备的项目经理（1人）具备：</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机电工程</w:t>
            </w:r>
            <w:r>
              <w:rPr>
                <w:rFonts w:hint="eastAsia" w:ascii="宋体" w:hAnsi="宋体" w:eastAsia="宋体" w:cs="宋体"/>
                <w:color w:val="000000"/>
                <w:sz w:val="21"/>
                <w:szCs w:val="21"/>
                <w:lang w:val="en-US" w:eastAsia="zh-CN"/>
              </w:rPr>
              <w:t>相关</w:t>
            </w:r>
            <w:r>
              <w:rPr>
                <w:rFonts w:hint="eastAsia" w:ascii="宋体" w:hAnsi="宋体" w:eastAsia="宋体" w:cs="宋体"/>
                <w:color w:val="000000"/>
                <w:sz w:val="21"/>
                <w:szCs w:val="21"/>
              </w:rPr>
              <w:t>专业</w:t>
            </w:r>
            <w:r>
              <w:rPr>
                <w:rFonts w:hint="eastAsia" w:ascii="宋体" w:hAnsi="宋体" w:eastAsia="宋体" w:cs="宋体"/>
                <w:color w:val="000000"/>
                <w:sz w:val="21"/>
                <w:szCs w:val="21"/>
                <w:lang w:val="en-US" w:eastAsia="zh-CN"/>
              </w:rPr>
              <w:t>中级及以上</w:t>
            </w:r>
            <w:r>
              <w:rPr>
                <w:rFonts w:hint="eastAsia" w:ascii="宋体" w:hAnsi="宋体" w:cs="宋体"/>
                <w:color w:val="000000"/>
                <w:sz w:val="21"/>
                <w:szCs w:val="21"/>
                <w:lang w:val="en-US" w:eastAsia="zh-CN"/>
              </w:rPr>
              <w:t>职称</w:t>
            </w:r>
            <w:r>
              <w:rPr>
                <w:rFonts w:hint="eastAsia" w:ascii="宋体" w:hAnsi="宋体" w:eastAsia="宋体" w:cs="宋体"/>
                <w:color w:val="000000"/>
                <w:sz w:val="21"/>
                <w:szCs w:val="21"/>
              </w:rPr>
              <w:t>证书；本项满分得3分；</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2、投标人为本项目拟配备的技术负责人（1人）具备：技术职称为计算机或机电工程</w:t>
            </w:r>
            <w:r>
              <w:rPr>
                <w:rFonts w:hint="eastAsia" w:ascii="宋体" w:hAnsi="宋体" w:eastAsia="宋体" w:cs="宋体"/>
                <w:color w:val="000000"/>
                <w:sz w:val="21"/>
                <w:szCs w:val="21"/>
                <w:lang w:val="en-US" w:eastAsia="zh-CN"/>
              </w:rPr>
              <w:t>相关</w:t>
            </w:r>
            <w:r>
              <w:rPr>
                <w:rFonts w:hint="eastAsia" w:ascii="宋体" w:hAnsi="宋体" w:eastAsia="宋体" w:cs="宋体"/>
                <w:color w:val="000000"/>
                <w:sz w:val="21"/>
                <w:szCs w:val="21"/>
              </w:rPr>
              <w:t>专业中级及以上</w:t>
            </w:r>
            <w:r>
              <w:rPr>
                <w:rFonts w:hint="eastAsia" w:ascii="宋体" w:hAnsi="宋体" w:cs="宋体"/>
                <w:color w:val="000000"/>
                <w:sz w:val="21"/>
                <w:szCs w:val="21"/>
                <w:lang w:val="en-US" w:eastAsia="zh-CN"/>
              </w:rPr>
              <w:t>职称证书</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本项满分</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分；</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注：投标文件中</w:t>
            </w:r>
            <w:r>
              <w:rPr>
                <w:rFonts w:hint="eastAsia" w:ascii="宋体" w:hAnsi="宋体" w:eastAsia="宋体" w:cs="宋体"/>
                <w:color w:val="000000"/>
                <w:sz w:val="21"/>
                <w:szCs w:val="21"/>
                <w:lang w:val="en-US" w:eastAsia="zh-CN"/>
              </w:rPr>
              <w:t>同时</w:t>
            </w:r>
            <w:r>
              <w:rPr>
                <w:rFonts w:hint="eastAsia" w:ascii="宋体" w:hAnsi="宋体" w:eastAsia="宋体" w:cs="宋体"/>
                <w:color w:val="000000"/>
                <w:sz w:val="21"/>
                <w:szCs w:val="21"/>
              </w:rPr>
              <w:t>提供</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（1）人员名单（格式自拟）；（2）上述人员证书扫描件；（3）</w:t>
            </w:r>
            <w:r>
              <w:rPr>
                <w:rFonts w:hint="eastAsia" w:ascii="宋体" w:hAnsi="宋体" w:eastAsia="宋体" w:cs="宋体"/>
                <w:color w:val="000000"/>
                <w:sz w:val="21"/>
                <w:szCs w:val="21"/>
                <w:lang w:val="en-US" w:eastAsia="zh-CN"/>
              </w:rPr>
              <w:t>提供投标人为上述人员缴纳的近3个月内（任意1个月）的社保证明材料。社保缴纳单位应当是供应商或者供应商不具备独立法人资格的分支机构。（社保缴费证明或社保的有效证明材料至少含养老保险）</w:t>
            </w:r>
            <w:r>
              <w:rPr>
                <w:rFonts w:hint="eastAsia" w:ascii="宋体" w:hAnsi="宋体" w:eastAsia="宋体" w:cs="宋体"/>
                <w:color w:val="000000"/>
                <w:sz w:val="21"/>
                <w:szCs w:val="21"/>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同一人具有多个证书的不重复计分。</w:t>
            </w:r>
          </w:p>
        </w:tc>
        <w:tc>
          <w:tcPr>
            <w:tcW w:w="638" w:type="dxa"/>
            <w:shd w:val="clear" w:color="auto" w:fill="auto"/>
            <w:noWrap/>
            <w:vAlign w:val="center"/>
          </w:tcPr>
          <w:p w14:paraId="67D65FE3">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w:t>
            </w:r>
          </w:p>
        </w:tc>
      </w:tr>
      <w:tr w14:paraId="74F2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00" w:hRule="atLeast"/>
        </w:trPr>
        <w:tc>
          <w:tcPr>
            <w:tcW w:w="639" w:type="dxa"/>
            <w:vMerge w:val="continue"/>
            <w:shd w:val="clear" w:color="auto" w:fill="auto"/>
            <w:vAlign w:val="center"/>
          </w:tcPr>
          <w:p w14:paraId="6D5D9F64">
            <w:pPr>
              <w:spacing w:line="440" w:lineRule="exact"/>
              <w:rPr>
                <w:rFonts w:hint="eastAsia" w:ascii="宋体" w:hAnsi="宋体" w:eastAsia="宋体" w:cs="宋体"/>
                <w:i w:val="0"/>
                <w:iCs w:val="0"/>
                <w:color w:val="auto"/>
                <w:sz w:val="21"/>
                <w:szCs w:val="21"/>
                <w:highlight w:val="none"/>
                <w:u w:val="none"/>
              </w:rPr>
            </w:pPr>
          </w:p>
        </w:tc>
        <w:tc>
          <w:tcPr>
            <w:tcW w:w="1425" w:type="dxa"/>
            <w:shd w:val="clear" w:color="auto" w:fill="auto"/>
            <w:vAlign w:val="center"/>
          </w:tcPr>
          <w:p w14:paraId="4D32D2C6">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企业业绩</w:t>
            </w:r>
          </w:p>
        </w:tc>
        <w:tc>
          <w:tcPr>
            <w:tcW w:w="6355" w:type="dxa"/>
            <w:shd w:val="clear" w:color="auto" w:fill="auto"/>
            <w:vAlign w:val="center"/>
          </w:tcPr>
          <w:p w14:paraId="4DFD4390">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自2023年1月1日以来（以合同签订时间为准），投标人具有视频监控类项目或智慧后勤建设类项目业绩，每提供一个业绩得3分，本项满分6分。</w:t>
            </w:r>
            <w:r>
              <w:rPr>
                <w:rFonts w:hint="eastAsia" w:ascii="宋体" w:hAnsi="宋体" w:eastAsia="宋体" w:cs="宋体"/>
                <w:i w:val="0"/>
                <w:iCs w:val="0"/>
                <w:color w:val="auto"/>
                <w:sz w:val="21"/>
                <w:szCs w:val="21"/>
                <w:highlight w:val="none"/>
                <w:u w:val="none"/>
                <w:lang w:val="en-US" w:eastAsia="zh-CN"/>
              </w:rPr>
              <w:br w:type="textWrapping"/>
            </w:r>
            <w:r>
              <w:rPr>
                <w:rFonts w:hint="eastAsia" w:ascii="宋体" w:hAnsi="宋体" w:eastAsia="宋体" w:cs="宋体"/>
                <w:i w:val="0"/>
                <w:iCs w:val="0"/>
                <w:color w:val="auto"/>
                <w:sz w:val="21"/>
                <w:szCs w:val="21"/>
                <w:highlight w:val="none"/>
                <w:u w:val="none"/>
                <w:lang w:val="en-US" w:eastAsia="zh-CN"/>
              </w:rPr>
              <w:t>注：投标文件中需提供业绩合同材料扫描件，如合同中无法体现合同签订时间、服务内容等关键评审信息的，须另附业主单位（或合同甲方）出具的证明材料扫描件。</w:t>
            </w:r>
          </w:p>
        </w:tc>
        <w:tc>
          <w:tcPr>
            <w:tcW w:w="638" w:type="dxa"/>
            <w:shd w:val="clear" w:color="auto" w:fill="auto"/>
            <w:noWrap/>
            <w:vAlign w:val="center"/>
          </w:tcPr>
          <w:p w14:paraId="3654A2DB">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r>
      <w:tr w14:paraId="7AB6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639" w:type="dxa"/>
            <w:shd w:val="clear" w:color="auto" w:fill="auto"/>
            <w:vAlign w:val="center"/>
          </w:tcPr>
          <w:p w14:paraId="3FB1B3A4">
            <w:pPr>
              <w:keepNext w:val="0"/>
              <w:keepLines w:val="0"/>
              <w:widowControl/>
              <w:suppressLineNumbers w:val="0"/>
              <w:spacing w:line="44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价格分（30分）</w:t>
            </w:r>
          </w:p>
        </w:tc>
        <w:tc>
          <w:tcPr>
            <w:tcW w:w="7780" w:type="dxa"/>
            <w:gridSpan w:val="2"/>
            <w:shd w:val="clear" w:color="auto" w:fill="auto"/>
            <w:vAlign w:val="center"/>
          </w:tcPr>
          <w:p w14:paraId="08E5F40C">
            <w:pPr>
              <w:keepNext w:val="0"/>
              <w:keepLines w:val="0"/>
              <w:widowControl/>
              <w:suppressLineNumbers w:val="0"/>
              <w:spacing w:line="44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价格分统一采用低价优先法，即满足招标文件要求且投标价格最低的投标报价（如有扣除为扣除后价格）为评标基准价，其价格分为满分30分。其他投标人的价格分统一按照下列公式计算：</w:t>
            </w:r>
          </w:p>
          <w:p w14:paraId="7D2F9FFB">
            <w:pPr>
              <w:keepNext w:val="0"/>
              <w:keepLines w:val="0"/>
              <w:widowControl/>
              <w:suppressLineNumbers w:val="0"/>
              <w:spacing w:line="44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投标报价得分=（评标基准价/投标报价（如有扣除为扣除后价格））×30%×100。</w:t>
            </w:r>
          </w:p>
        </w:tc>
        <w:tc>
          <w:tcPr>
            <w:tcW w:w="638" w:type="dxa"/>
            <w:shd w:val="clear" w:color="auto" w:fill="auto"/>
            <w:vAlign w:val="center"/>
          </w:tcPr>
          <w:p w14:paraId="5F0F93EB">
            <w:pPr>
              <w:keepNext w:val="0"/>
              <w:keepLines w:val="0"/>
              <w:widowControl/>
              <w:suppressLineNumbers w:val="0"/>
              <w:spacing w:line="4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r>
    </w:tbl>
    <w:p w14:paraId="3A592A3C">
      <w:pPr>
        <w:pStyle w:val="2"/>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E2F40">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00BCF7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00BCF7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4703E2"/>
    <w:multiLevelType w:val="singleLevel"/>
    <w:tmpl w:val="D34703E2"/>
    <w:lvl w:ilvl="0" w:tentative="0">
      <w:start w:val="1"/>
      <w:numFmt w:val="decimal"/>
      <w:suff w:val="nothing"/>
      <w:lvlText w:val="%1．"/>
      <w:lvlJc w:val="left"/>
    </w:lvl>
  </w:abstractNum>
  <w:abstractNum w:abstractNumId="1">
    <w:nsid w:val="D85E98B7"/>
    <w:multiLevelType w:val="singleLevel"/>
    <w:tmpl w:val="D85E98B7"/>
    <w:lvl w:ilvl="0" w:tentative="0">
      <w:start w:val="2"/>
      <w:numFmt w:val="decimal"/>
      <w:suff w:val="nothing"/>
      <w:lvlText w:val="（%1）"/>
      <w:lvlJc w:val="left"/>
    </w:lvl>
  </w:abstractNum>
  <w:abstractNum w:abstractNumId="2">
    <w:nsid w:val="DA735E0B"/>
    <w:multiLevelType w:val="singleLevel"/>
    <w:tmpl w:val="DA735E0B"/>
    <w:lvl w:ilvl="0" w:tentative="0">
      <w:start w:val="1"/>
      <w:numFmt w:val="decimal"/>
      <w:suff w:val="nothing"/>
      <w:lvlText w:val="（%1）"/>
      <w:lvlJc w:val="left"/>
    </w:lvl>
  </w:abstractNum>
  <w:abstractNum w:abstractNumId="3">
    <w:nsid w:val="3407C424"/>
    <w:multiLevelType w:val="singleLevel"/>
    <w:tmpl w:val="3407C424"/>
    <w:lvl w:ilvl="0" w:tentative="0">
      <w:start w:val="1"/>
      <w:numFmt w:val="decimal"/>
      <w:suff w:val="nothing"/>
      <w:lvlText w:val="%1、"/>
      <w:lvlJc w:val="left"/>
    </w:lvl>
  </w:abstractNum>
  <w:abstractNum w:abstractNumId="4">
    <w:nsid w:val="60F5C8F3"/>
    <w:multiLevelType w:val="singleLevel"/>
    <w:tmpl w:val="60F5C8F3"/>
    <w:lvl w:ilvl="0" w:tentative="0">
      <w:start w:val="1"/>
      <w:numFmt w:val="decimal"/>
      <w:lvlText w:val="%1."/>
      <w:lvlJc w:val="left"/>
      <w:pPr>
        <w:tabs>
          <w:tab w:val="left" w:pos="312"/>
        </w:tabs>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A46C9"/>
    <w:rsid w:val="00FB1CC0"/>
    <w:rsid w:val="042C6280"/>
    <w:rsid w:val="0BB87B63"/>
    <w:rsid w:val="0E941A99"/>
    <w:rsid w:val="0F76123D"/>
    <w:rsid w:val="0FA93B5A"/>
    <w:rsid w:val="1010343F"/>
    <w:rsid w:val="10343B5B"/>
    <w:rsid w:val="11F02628"/>
    <w:rsid w:val="121454E1"/>
    <w:rsid w:val="134916BC"/>
    <w:rsid w:val="16B9038D"/>
    <w:rsid w:val="176D3FD9"/>
    <w:rsid w:val="1C2E542A"/>
    <w:rsid w:val="20757BD3"/>
    <w:rsid w:val="22A07496"/>
    <w:rsid w:val="2362522F"/>
    <w:rsid w:val="250702DF"/>
    <w:rsid w:val="26802C75"/>
    <w:rsid w:val="293D1110"/>
    <w:rsid w:val="2AA77572"/>
    <w:rsid w:val="2AEA46C9"/>
    <w:rsid w:val="2EA66FF1"/>
    <w:rsid w:val="2EBF6305"/>
    <w:rsid w:val="30501C87"/>
    <w:rsid w:val="39CE44AA"/>
    <w:rsid w:val="3C6D07F4"/>
    <w:rsid w:val="3D100F7A"/>
    <w:rsid w:val="3FFC5081"/>
    <w:rsid w:val="40833636"/>
    <w:rsid w:val="41410DFB"/>
    <w:rsid w:val="439D5CFD"/>
    <w:rsid w:val="443469F5"/>
    <w:rsid w:val="44BE45BC"/>
    <w:rsid w:val="461705D3"/>
    <w:rsid w:val="4DD54DA5"/>
    <w:rsid w:val="500D67DD"/>
    <w:rsid w:val="51B0151D"/>
    <w:rsid w:val="522D4164"/>
    <w:rsid w:val="542E16B3"/>
    <w:rsid w:val="5CBA29ED"/>
    <w:rsid w:val="5E3E6CDB"/>
    <w:rsid w:val="5EBD2544"/>
    <w:rsid w:val="65801643"/>
    <w:rsid w:val="65CB0B10"/>
    <w:rsid w:val="6A491C87"/>
    <w:rsid w:val="73E93F75"/>
    <w:rsid w:val="75DC0987"/>
    <w:rsid w:val="790C526F"/>
    <w:rsid w:val="7F5F2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30"/>
      <w:szCs w:val="44"/>
    </w:rPr>
  </w:style>
  <w:style w:type="paragraph" w:styleId="4">
    <w:name w:val="heading 2"/>
    <w:next w:val="1"/>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99"/>
    <w:pPr>
      <w:ind w:left="482" w:firstLine="200" w:firstLineChars="200"/>
    </w:pPr>
  </w:style>
  <w:style w:type="paragraph" w:styleId="6">
    <w:name w:val="annotation text"/>
    <w:basedOn w:val="1"/>
    <w:semiHidden/>
    <w:unhideWhenUsed/>
    <w:qFormat/>
    <w:uiPriority w:val="99"/>
    <w:pPr>
      <w:jc w:val="left"/>
    </w:pPr>
  </w:style>
  <w:style w:type="paragraph" w:styleId="7">
    <w:name w:val="Body Text"/>
    <w:basedOn w:val="1"/>
    <w:next w:val="1"/>
    <w:unhideWhenUsed/>
    <w:qFormat/>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8">
    <w:name w:val="Body Text Indent"/>
    <w:basedOn w:val="1"/>
    <w:next w:val="9"/>
    <w:unhideWhenUsed/>
    <w:qFormat/>
    <w:uiPriority w:val="0"/>
    <w:pPr>
      <w:spacing w:after="120"/>
      <w:ind w:left="420" w:leftChars="200"/>
    </w:pPr>
    <w:rPr>
      <w:rFonts w:asciiTheme="minorHAnsi" w:hAnsiTheme="minorHAnsi"/>
      <w:kern w:val="2"/>
      <w:sz w:val="21"/>
      <w:szCs w:val="22"/>
    </w:rPr>
  </w:style>
  <w:style w:type="paragraph" w:styleId="9">
    <w:name w:val="envelope return"/>
    <w:basedOn w:val="1"/>
    <w:qFormat/>
    <w:uiPriority w:val="0"/>
    <w:pPr>
      <w:snapToGrid w:val="0"/>
    </w:pPr>
    <w:rPr>
      <w:rFonts w:ascii="Arial" w:hAnsi="Arial" w:cs="Times New Roman"/>
      <w:kern w:val="2"/>
      <w:sz w:val="21"/>
      <w:szCs w:val="24"/>
    </w:rPr>
  </w:style>
  <w:style w:type="paragraph" w:styleId="10">
    <w:name w:val="footer"/>
    <w:basedOn w:val="1"/>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8"/>
    <w:next w:val="1"/>
    <w:qFormat/>
    <w:uiPriority w:val="0"/>
    <w:pPr>
      <w:ind w:firstLine="420" w:firstLineChars="200"/>
    </w:pPr>
    <w:rPr>
      <w:rFonts w:ascii="宋体" w:hAnsi="宋体" w:cs="Times New Roman"/>
      <w:bCs/>
      <w:sz w:val="28"/>
      <w:szCs w:val="32"/>
    </w:rPr>
  </w:style>
  <w:style w:type="table" w:customStyle="1" w:styleId="15">
    <w:name w:val="Table Normal"/>
    <w:semiHidden/>
    <w:unhideWhenUsed/>
    <w:qFormat/>
    <w:uiPriority w:val="0"/>
    <w:tblPr>
      <w:tblCellMar>
        <w:top w:w="0" w:type="dxa"/>
        <w:left w:w="0" w:type="dxa"/>
        <w:bottom w:w="0" w:type="dxa"/>
        <w:right w:w="0" w:type="dxa"/>
      </w:tblCellMar>
    </w:tblPr>
  </w:style>
  <w:style w:type="character" w:customStyle="1" w:styleId="16">
    <w:name w:val="font51"/>
    <w:basedOn w:val="14"/>
    <w:qFormat/>
    <w:uiPriority w:val="0"/>
    <w:rPr>
      <w:rFonts w:hint="eastAsia" w:ascii="宋体" w:hAnsi="宋体" w:eastAsia="宋体" w:cs="宋体"/>
      <w:color w:val="000000"/>
      <w:sz w:val="22"/>
      <w:szCs w:val="22"/>
      <w:u w:val="none"/>
    </w:rPr>
  </w:style>
  <w:style w:type="character" w:customStyle="1" w:styleId="17">
    <w:name w:val="font01"/>
    <w:basedOn w:val="14"/>
    <w:qFormat/>
    <w:uiPriority w:val="0"/>
    <w:rPr>
      <w:rFonts w:hint="eastAsia" w:ascii="宋体" w:hAnsi="宋体" w:eastAsia="宋体" w:cs="宋体"/>
      <w:color w:val="000000"/>
      <w:sz w:val="22"/>
      <w:szCs w:val="22"/>
      <w:u w:val="none"/>
    </w:rPr>
  </w:style>
  <w:style w:type="character" w:customStyle="1" w:styleId="18">
    <w:name w:val="font11"/>
    <w:basedOn w:val="1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18321</Words>
  <Characters>21545</Characters>
  <Lines>0</Lines>
  <Paragraphs>0</Paragraphs>
  <TotalTime>6</TotalTime>
  <ScaleCrop>false</ScaleCrop>
  <LinksUpToDate>false</LinksUpToDate>
  <CharactersWithSpaces>23363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2026-08-14T05:52:00Z</dcterms:created>
  <dc:creator>AD</dc:creator>
  <cp:lastModifiedBy>AD</cp:lastModifiedBy>
  <dcterms:modified xsi:type="dcterms:W3CDTF">2026-08-14T07:27:37Z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B3DED8AA20C24A2D9F98BE0C2EFE8DB5_11</vt:lpwstr>
  </property>
  <property fmtid="{D5CDD505-2E9C-101B-9397-08002B2CF9AE}" pid="4" name="KSOTemplateDocerSaveRecord">
    <vt:lpwstr>eyJoZGlkIjoiOTQ0YzFmNWZlNmY0YTBlNmI3MDJhMzZmZjcyODM4YjgiLCJ1c2VySWQiOiIyODUyMTc0NyJ9</vt:lpwstr>
  </property>
</Properties>
</file>