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F729E">
      <w:pPr>
        <w:spacing w:line="360" w:lineRule="auto"/>
        <w:jc w:val="center"/>
        <w:outlineLvl w:val="0"/>
        <w:rPr>
          <w:rFonts w:hint="eastAsia" w:ascii="宋体" w:hAnsi="宋体" w:eastAsia="宋体" w:cs="宋体"/>
          <w:b/>
          <w:color w:val="auto"/>
          <w:sz w:val="28"/>
          <w:highlight w:val="none"/>
          <w:lang w:eastAsia="zh-CN"/>
        </w:rPr>
      </w:pPr>
      <w:bookmarkStart w:id="0" w:name="_Toc20017"/>
      <w:r>
        <w:rPr>
          <w:rFonts w:hint="eastAsia" w:ascii="宋体" w:hAnsi="宋体" w:eastAsia="宋体" w:cs="宋体"/>
          <w:b/>
          <w:color w:val="auto"/>
          <w:sz w:val="28"/>
          <w:highlight w:val="none"/>
        </w:rPr>
        <w:t>第三章  采购需求</w:t>
      </w:r>
      <w:bookmarkEnd w:id="0"/>
    </w:p>
    <w:p w14:paraId="554A2166">
      <w:pPr>
        <w:pStyle w:val="5"/>
        <w:numPr>
          <w:ilvl w:val="0"/>
          <w:numId w:val="0"/>
        </w:numPr>
        <w:spacing w:before="190" w:line="219" w:lineRule="auto"/>
        <w:ind w:left="569"/>
        <w:outlineLvl w:val="1"/>
        <w:rPr>
          <w:rFonts w:hint="eastAsia" w:ascii="宋体" w:hAnsi="宋体" w:eastAsia="宋体" w:cs="宋体"/>
          <w:b/>
          <w:bCs/>
          <w:spacing w:val="-5"/>
          <w:sz w:val="24"/>
          <w:szCs w:val="24"/>
          <w:lang w:val="en-US" w:eastAsia="zh-CN"/>
        </w:rPr>
      </w:pPr>
      <w:bookmarkStart w:id="1" w:name="_Toc13759"/>
      <w:bookmarkStart w:id="2" w:name="_Toc4843"/>
      <w:bookmarkStart w:id="3" w:name="_Toc7421"/>
      <w:r>
        <w:rPr>
          <w:rFonts w:hint="eastAsia" w:ascii="宋体" w:hAnsi="宋体" w:eastAsia="宋体" w:cs="宋体"/>
          <w:b/>
          <w:bCs/>
          <w:spacing w:val="-5"/>
          <w:kern w:val="2"/>
          <w:sz w:val="24"/>
          <w:szCs w:val="24"/>
          <w:lang w:val="en-US" w:eastAsia="zh-CN" w:bidi="ar-SA"/>
        </w:rPr>
        <w:t>（一）</w:t>
      </w:r>
      <w:r>
        <w:rPr>
          <w:rFonts w:hint="eastAsia" w:ascii="宋体" w:hAnsi="宋体" w:eastAsia="宋体" w:cs="宋体"/>
          <w:b/>
          <w:bCs/>
          <w:spacing w:val="-5"/>
          <w:sz w:val="24"/>
          <w:szCs w:val="24"/>
          <w:lang w:val="en-US" w:eastAsia="zh-CN"/>
        </w:rPr>
        <w:t>项目概况</w:t>
      </w:r>
    </w:p>
    <w:p w14:paraId="6CC61D4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项目名称：</w:t>
      </w:r>
      <w:r>
        <w:rPr>
          <w:rFonts w:hint="eastAsia" w:ascii="宋体" w:hAnsi="宋体" w:eastAsia="宋体" w:cs="宋体"/>
          <w:b/>
          <w:bCs/>
          <w:color w:val="000000"/>
          <w:kern w:val="0"/>
          <w:sz w:val="24"/>
          <w:szCs w:val="24"/>
          <w:lang w:val="en-US" w:eastAsia="zh-CN" w:bidi="ar"/>
        </w:rPr>
        <w:t>金安区生活垃圾分类处理设施提标改造工程项目-城区生活垃圾分类亭采购</w:t>
      </w:r>
    </w:p>
    <w:p w14:paraId="1BEA3C7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kern w:val="0"/>
          <w:sz w:val="24"/>
          <w:szCs w:val="24"/>
          <w:lang w:val="en-US" w:eastAsia="zh-CN" w:bidi="ar"/>
        </w:rPr>
        <w:t>本项目拟采购安装236座“两网融合”垃圾分类设施，</w:t>
      </w:r>
      <w:r>
        <w:rPr>
          <w:rFonts w:hint="eastAsia" w:ascii="宋体" w:hAnsi="宋体" w:eastAsia="宋体" w:cs="宋体"/>
          <w:b w:val="0"/>
          <w:bCs w:val="0"/>
          <w:sz w:val="24"/>
          <w:szCs w:val="24"/>
          <w:vertAlign w:val="baseline"/>
          <w:lang w:val="en-US" w:eastAsia="zh-CN"/>
        </w:rPr>
        <w:t>升级605座垃圾分类设施，</w:t>
      </w:r>
      <w:r>
        <w:rPr>
          <w:rFonts w:hint="eastAsia" w:ascii="宋体" w:hAnsi="宋体" w:eastAsia="宋体" w:cs="宋体"/>
          <w:b w:val="0"/>
          <w:bCs w:val="0"/>
          <w:color w:val="000000" w:themeColor="text1"/>
          <w:sz w:val="24"/>
          <w:szCs w:val="24"/>
          <w:lang w:val="en-US" w:eastAsia="zh-CN"/>
          <w14:textFill>
            <w14:solidFill>
              <w14:schemeClr w14:val="tx1"/>
            </w14:solidFill>
          </w14:textFill>
        </w:rPr>
        <w:t>升级两个小区示范</w:t>
      </w:r>
      <w:r>
        <w:rPr>
          <w:rFonts w:hint="eastAsia" w:ascii="宋体" w:hAnsi="宋体" w:eastAsia="宋体" w:cs="宋体"/>
          <w:b w:val="0"/>
          <w:bCs w:val="0"/>
          <w:sz w:val="24"/>
          <w:szCs w:val="24"/>
          <w:vertAlign w:val="baseline"/>
          <w:lang w:val="en-US" w:eastAsia="zh-CN"/>
        </w:rPr>
        <w:t>“两网融合”垃圾</w:t>
      </w:r>
      <w:r>
        <w:rPr>
          <w:rFonts w:hint="eastAsia" w:ascii="宋体" w:hAnsi="宋体" w:eastAsia="宋体" w:cs="宋体"/>
          <w:b w:val="0"/>
          <w:bCs w:val="0"/>
          <w:color w:val="000000" w:themeColor="text1"/>
          <w:sz w:val="24"/>
          <w:szCs w:val="24"/>
          <w:lang w:val="en-US" w:eastAsia="zh-CN"/>
          <w14:textFill>
            <w14:solidFill>
              <w14:schemeClr w14:val="tx1"/>
            </w14:solidFill>
          </w14:textFill>
        </w:rPr>
        <w:t>分类设施，建设垃圾分类管理平台和可回收物运营体系。主要内容如下：</w:t>
      </w:r>
    </w:p>
    <w:p w14:paraId="4F6389C8">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420" w:leftChars="200" w:right="0" w:rightChars="0" w:firstLine="0" w:firstLineChars="0"/>
        <w:jc w:val="left"/>
        <w:textAlignment w:val="auto"/>
        <w:rPr>
          <w:rFonts w:hint="default" w:ascii="宋体" w:hAnsi="宋体" w:eastAsia="宋体" w:cs="宋体"/>
          <w:b/>
          <w:bCs/>
          <w:color w:val="000000"/>
          <w:kern w:val="0"/>
          <w:sz w:val="24"/>
          <w:szCs w:val="24"/>
          <w:lang w:val="en-US" w:eastAsia="zh-CN" w:bidi="ar"/>
        </w:rPr>
      </w:pPr>
      <w:r>
        <w:rPr>
          <w:rFonts w:hint="default" w:ascii="宋体" w:hAnsi="宋体" w:eastAsia="宋体" w:cs="宋体"/>
          <w:b/>
          <w:bCs/>
          <w:color w:val="000000"/>
          <w:kern w:val="0"/>
          <w:sz w:val="24"/>
          <w:szCs w:val="24"/>
          <w:lang w:val="en-US" w:eastAsia="zh-CN" w:bidi="ar"/>
        </w:rPr>
        <w:t>1.</w:t>
      </w:r>
      <w:r>
        <w:rPr>
          <w:rFonts w:hint="eastAsia" w:ascii="宋体" w:hAnsi="宋体" w:eastAsia="宋体" w:cs="宋体"/>
          <w:b/>
          <w:bCs/>
          <w:color w:val="000000"/>
          <w:kern w:val="0"/>
          <w:sz w:val="24"/>
          <w:szCs w:val="24"/>
          <w:lang w:val="en-US" w:eastAsia="zh-CN" w:bidi="ar"/>
        </w:rPr>
        <w:t>1采购安装236座“两网融合”垃圾分类设施</w:t>
      </w:r>
    </w:p>
    <w:p w14:paraId="627CE25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kern w:val="0"/>
          <w:sz w:val="24"/>
          <w:szCs w:val="24"/>
          <w:lang w:val="en-US" w:eastAsia="zh-CN" w:bidi="ar"/>
        </w:rPr>
        <w:t>采购安装236座“两网融合”垃圾分类设施</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并对基础部分进行对应改造。</w:t>
      </w:r>
    </w:p>
    <w:p w14:paraId="39803F41">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420" w:leftChars="200" w:right="0" w:rightChars="0" w:firstLine="0" w:firstLineChars="0"/>
        <w:jc w:val="left"/>
        <w:textAlignment w:val="auto"/>
        <w:rPr>
          <w:rFonts w:hint="eastAsia" w:ascii="宋体" w:hAnsi="宋体" w:eastAsia="宋体" w:cs="宋体"/>
          <w:b/>
          <w:bCs/>
          <w:sz w:val="24"/>
          <w:szCs w:val="24"/>
          <w:vertAlign w:val="baseline"/>
          <w:lang w:val="en-US" w:eastAsia="zh-CN"/>
        </w:rPr>
      </w:pPr>
      <w:r>
        <w:rPr>
          <w:rFonts w:hint="default" w:ascii="宋体" w:hAnsi="宋体" w:eastAsia="宋体" w:cs="宋体"/>
          <w:b/>
          <w:bCs/>
          <w:kern w:val="2"/>
          <w:sz w:val="24"/>
          <w:szCs w:val="24"/>
          <w:vertAlign w:val="baseline"/>
          <w:lang w:val="en-US" w:eastAsia="zh-CN" w:bidi="ar-SA"/>
        </w:rPr>
        <w:t>1.</w:t>
      </w:r>
      <w:r>
        <w:rPr>
          <w:rFonts w:hint="eastAsia" w:ascii="宋体" w:hAnsi="宋体" w:eastAsia="宋体" w:cs="宋体"/>
          <w:b/>
          <w:bCs/>
          <w:kern w:val="2"/>
          <w:sz w:val="24"/>
          <w:szCs w:val="24"/>
          <w:vertAlign w:val="baseline"/>
          <w:lang w:val="en-US" w:eastAsia="zh-CN" w:bidi="ar-SA"/>
        </w:rPr>
        <w:t>2升级</w:t>
      </w:r>
      <w:r>
        <w:rPr>
          <w:rFonts w:hint="eastAsia" w:ascii="宋体" w:hAnsi="宋体" w:eastAsia="宋体" w:cs="宋体"/>
          <w:b/>
          <w:bCs/>
          <w:sz w:val="24"/>
          <w:szCs w:val="24"/>
          <w:vertAlign w:val="baseline"/>
          <w:lang w:val="en-US" w:eastAsia="zh-CN"/>
        </w:rPr>
        <w:t>605座垃圾分类设施</w:t>
      </w:r>
    </w:p>
    <w:p w14:paraId="01126B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eastAsia" w:ascii="宋体" w:hAnsi="宋体" w:eastAsia="宋体" w:cs="宋体"/>
          <w:sz w:val="24"/>
          <w:szCs w:val="24"/>
          <w:vertAlign w:val="baseline"/>
          <w:lang w:val="en-US" w:eastAsia="zh-CN"/>
        </w:rPr>
      </w:pPr>
      <w:r>
        <w:rPr>
          <w:rFonts w:hint="eastAsia" w:ascii="宋体" w:hAnsi="宋体" w:eastAsia="宋体" w:cs="宋体"/>
          <w:color w:val="000000"/>
          <w:kern w:val="0"/>
          <w:sz w:val="24"/>
          <w:szCs w:val="24"/>
          <w:lang w:val="en-US" w:eastAsia="zh-CN" w:bidi="ar"/>
        </w:rPr>
        <w:t>1.2.1将城区236座现有垃圾分类亭保护性拆除并安装至城郊小区，现有垃圾分类亭尺寸规格：长*宽*高（mm）约为：3700*1800*2700</w:t>
      </w:r>
      <w:r>
        <w:rPr>
          <w:rFonts w:hint="eastAsia" w:ascii="Times New Roman" w:hAnsi="Times New Roman" w:eastAsia="宋体" w:cs="Times New Roman"/>
          <w:sz w:val="24"/>
          <w:highlight w:val="none"/>
          <w:lang w:val="en-US" w:eastAsia="zh-CN"/>
        </w:rPr>
        <w:t>；</w:t>
      </w:r>
      <w:r>
        <w:rPr>
          <w:rFonts w:hint="eastAsia" w:ascii="宋体" w:hAnsi="宋体" w:eastAsia="宋体" w:cs="宋体"/>
          <w:color w:val="000000"/>
          <w:kern w:val="0"/>
          <w:sz w:val="24"/>
          <w:szCs w:val="24"/>
          <w:lang w:val="en-US" w:eastAsia="zh-CN" w:bidi="ar"/>
        </w:rPr>
        <w:t>在城郊小区指定地点做基础，具备通水、通电、通下水功能，增加有害垃圾一体化洗手池、灭蝇灯、臭氧除臭机及照明灯，并翻新恢复使用功能。</w:t>
      </w:r>
    </w:p>
    <w:p w14:paraId="5D1446C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vertAlign w:val="baseline"/>
          <w:lang w:val="en-US" w:eastAsia="zh-CN"/>
        </w:rPr>
        <w:t>1.2.2对现有的369</w:t>
      </w:r>
      <w:r>
        <w:rPr>
          <w:rFonts w:hint="eastAsia" w:ascii="宋体" w:hAnsi="宋体" w:eastAsia="宋体" w:cs="宋体"/>
          <w:b w:val="0"/>
          <w:bCs w:val="0"/>
          <w:sz w:val="24"/>
          <w:szCs w:val="24"/>
          <w:vertAlign w:val="baseline"/>
          <w:lang w:val="en-US" w:eastAsia="zh-CN"/>
        </w:rPr>
        <w:t>座</w:t>
      </w:r>
      <w:r>
        <w:rPr>
          <w:rFonts w:hint="eastAsia" w:ascii="宋体" w:hAnsi="宋体" w:eastAsia="宋体" w:cs="宋体"/>
          <w:sz w:val="24"/>
          <w:szCs w:val="24"/>
          <w:vertAlign w:val="baseline"/>
          <w:lang w:val="en-US" w:eastAsia="zh-CN"/>
        </w:rPr>
        <w:t>各式简易垃圾分类亭进行升级，增加有害垃圾一体化洗手池</w:t>
      </w:r>
      <w:r>
        <w:rPr>
          <w:rFonts w:hint="eastAsia" w:ascii="宋体" w:hAnsi="宋体" w:eastAsia="宋体" w:cs="宋体"/>
          <w:color w:val="000000"/>
          <w:kern w:val="0"/>
          <w:sz w:val="24"/>
          <w:szCs w:val="24"/>
          <w:lang w:val="en-US" w:eastAsia="zh-CN" w:bidi="ar"/>
        </w:rPr>
        <w:t>、灭蝇灯、臭氧除臭机及照明灯。</w:t>
      </w:r>
    </w:p>
    <w:p w14:paraId="5E384067">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420" w:leftChars="200" w:right="0" w:rightChars="0" w:firstLine="0" w:firstLineChars="0"/>
        <w:jc w:val="left"/>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3</w:t>
      </w:r>
      <w:r>
        <w:rPr>
          <w:rFonts w:hint="eastAsia" w:ascii="宋体" w:hAnsi="宋体" w:eastAsia="宋体" w:cs="宋体"/>
          <w:b/>
          <w:bCs/>
          <w:color w:val="000000" w:themeColor="text1"/>
          <w:sz w:val="24"/>
          <w:szCs w:val="24"/>
          <w:lang w:val="en-US" w:eastAsia="zh-CN"/>
          <w14:textFill>
            <w14:solidFill>
              <w14:schemeClr w14:val="tx1"/>
            </w14:solidFill>
          </w14:textFill>
        </w:rPr>
        <w:t>升级两个小区示范“两网融合”</w:t>
      </w:r>
      <w:r>
        <w:rPr>
          <w:rFonts w:hint="eastAsia" w:ascii="宋体" w:hAnsi="宋体" w:eastAsia="宋体" w:cs="宋体"/>
          <w:b/>
          <w:bCs/>
          <w:sz w:val="24"/>
          <w:szCs w:val="24"/>
          <w:vertAlign w:val="baseline"/>
          <w:lang w:val="en-US" w:eastAsia="zh-CN"/>
        </w:rPr>
        <w:t>垃圾</w:t>
      </w:r>
      <w:r>
        <w:rPr>
          <w:rFonts w:hint="eastAsia" w:ascii="宋体" w:hAnsi="宋体" w:eastAsia="宋体" w:cs="宋体"/>
          <w:b/>
          <w:bCs/>
          <w:color w:val="000000" w:themeColor="text1"/>
          <w:sz w:val="24"/>
          <w:szCs w:val="24"/>
          <w:lang w:val="en-US" w:eastAsia="zh-CN"/>
          <w14:textFill>
            <w14:solidFill>
              <w14:schemeClr w14:val="tx1"/>
            </w14:solidFill>
          </w14:textFill>
        </w:rPr>
        <w:t>分类设施</w:t>
      </w:r>
    </w:p>
    <w:p w14:paraId="2F0BB1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default" w:ascii="宋体" w:hAnsi="宋体" w:eastAsia="宋体" w:cs="宋体"/>
          <w:b w:val="0"/>
          <w:bCs w:val="0"/>
          <w:sz w:val="24"/>
          <w:szCs w:val="24"/>
          <w:vertAlign w:val="baseline"/>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对两个小区的垃圾分类设施进行升级作为样板示范，样板示范设施费用48万元，中标人综合考虑在投标总价中，不单独列项。</w:t>
      </w:r>
    </w:p>
    <w:p w14:paraId="67BBC244">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2"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1.4</w:t>
      </w:r>
      <w:r>
        <w:rPr>
          <w:rFonts w:ascii="宋体" w:hAnsi="宋体" w:eastAsia="宋体" w:cs="宋体"/>
          <w:b/>
          <w:bCs/>
          <w:sz w:val="24"/>
          <w:szCs w:val="24"/>
        </w:rPr>
        <w:t>垃圾分类管理平台的</w:t>
      </w:r>
      <w:r>
        <w:rPr>
          <w:rFonts w:hint="eastAsia" w:ascii="宋体" w:hAnsi="宋体" w:eastAsia="宋体" w:cs="宋体"/>
          <w:b/>
          <w:bCs/>
          <w:sz w:val="24"/>
          <w:szCs w:val="24"/>
          <w:lang w:val="en-US" w:eastAsia="zh-CN"/>
        </w:rPr>
        <w:t>建设</w:t>
      </w:r>
      <w:r>
        <w:rPr>
          <w:rFonts w:hint="eastAsia" w:ascii="宋体" w:hAnsi="宋体" w:eastAsia="宋体" w:cs="宋体"/>
          <w:b/>
          <w:bCs/>
          <w:sz w:val="24"/>
          <w:szCs w:val="24"/>
        </w:rPr>
        <w:t>管理</w:t>
      </w:r>
      <w:r>
        <w:rPr>
          <w:rFonts w:ascii="宋体" w:hAnsi="宋体" w:eastAsia="宋体" w:cs="宋体"/>
          <w:b/>
          <w:bCs/>
          <w:sz w:val="24"/>
          <w:szCs w:val="24"/>
        </w:rPr>
        <w:t>维护</w:t>
      </w:r>
      <w:r>
        <w:rPr>
          <w:rFonts w:hint="eastAsia" w:ascii="宋体" w:hAnsi="宋体" w:eastAsia="宋体" w:cs="宋体"/>
          <w:b/>
          <w:bCs/>
          <w:sz w:val="24"/>
          <w:szCs w:val="24"/>
        </w:rPr>
        <w:t>：</w:t>
      </w:r>
      <w:r>
        <w:rPr>
          <w:rFonts w:hint="eastAsia" w:ascii="宋体" w:hAnsi="宋体" w:eastAsia="宋体" w:cs="宋体"/>
          <w:sz w:val="24"/>
          <w:szCs w:val="24"/>
          <w:lang w:val="zh-CN"/>
        </w:rPr>
        <w:t>负责本项目垃圾分类管理平台的建设、</w:t>
      </w:r>
      <w:r>
        <w:rPr>
          <w:rFonts w:hint="eastAsia" w:ascii="宋体" w:hAnsi="宋体" w:eastAsia="宋体" w:cs="宋体"/>
          <w:sz w:val="24"/>
          <w:szCs w:val="24"/>
        </w:rPr>
        <w:t>管理、</w:t>
      </w:r>
      <w:r>
        <w:rPr>
          <w:rFonts w:hint="eastAsia" w:ascii="宋体" w:hAnsi="宋体" w:eastAsia="宋体" w:cs="宋体"/>
          <w:sz w:val="24"/>
          <w:szCs w:val="24"/>
          <w:lang w:val="zh-CN"/>
        </w:rPr>
        <w:t>升级和维护，按要求将平台接入</w:t>
      </w:r>
      <w:r>
        <w:rPr>
          <w:rFonts w:hint="eastAsia" w:ascii="宋体" w:hAnsi="宋体" w:eastAsia="宋体" w:cs="宋体"/>
          <w:sz w:val="24"/>
          <w:szCs w:val="24"/>
        </w:rPr>
        <w:t>省市等</w:t>
      </w:r>
      <w:r>
        <w:rPr>
          <w:rFonts w:hint="eastAsia" w:ascii="宋体" w:hAnsi="宋体" w:eastAsia="宋体" w:cs="宋体"/>
          <w:sz w:val="24"/>
          <w:szCs w:val="24"/>
          <w:lang w:val="zh-CN"/>
        </w:rPr>
        <w:t>主管部门管理平台</w:t>
      </w:r>
      <w:r>
        <w:rPr>
          <w:rFonts w:hint="eastAsia" w:ascii="宋体" w:hAnsi="宋体" w:eastAsia="宋体" w:cs="宋体"/>
          <w:sz w:val="24"/>
          <w:szCs w:val="24"/>
          <w:lang w:val="en-US" w:eastAsia="zh-CN"/>
        </w:rPr>
        <w:t>。</w:t>
      </w:r>
    </w:p>
    <w:p w14:paraId="034D321E">
      <w:pPr>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2"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1.5</w:t>
      </w:r>
      <w:r>
        <w:rPr>
          <w:rFonts w:ascii="宋体" w:hAnsi="宋体" w:eastAsia="宋体" w:cs="宋体"/>
          <w:b/>
          <w:bCs/>
          <w:sz w:val="24"/>
          <w:szCs w:val="24"/>
        </w:rPr>
        <w:t>可回收物</w:t>
      </w:r>
      <w:r>
        <w:rPr>
          <w:rFonts w:hint="eastAsia" w:ascii="宋体" w:hAnsi="宋体" w:eastAsia="宋体" w:cs="宋体"/>
          <w:b/>
          <w:bCs/>
          <w:sz w:val="24"/>
          <w:szCs w:val="24"/>
          <w:lang w:val="en-US" w:eastAsia="zh-CN"/>
        </w:rPr>
        <w:t>运营</w:t>
      </w:r>
      <w:r>
        <w:rPr>
          <w:rFonts w:hint="eastAsia" w:ascii="宋体" w:hAnsi="宋体" w:eastAsia="宋体" w:cs="宋体"/>
          <w:b/>
          <w:bCs/>
          <w:sz w:val="24"/>
          <w:szCs w:val="24"/>
          <w:lang w:eastAsia="zh-CN"/>
        </w:rPr>
        <w:t>：</w:t>
      </w:r>
      <w:r>
        <w:rPr>
          <w:rFonts w:hint="eastAsia" w:ascii="宋体" w:hAnsi="宋体" w:eastAsia="宋体" w:cs="宋体"/>
          <w:b w:val="0"/>
          <w:bCs w:val="0"/>
          <w:sz w:val="24"/>
          <w:szCs w:val="24"/>
          <w:lang w:val="en-US" w:eastAsia="zh-CN"/>
        </w:rPr>
        <w:t>中标人须</w:t>
      </w:r>
      <w:r>
        <w:rPr>
          <w:rFonts w:hint="eastAsia" w:ascii="宋体" w:hAnsi="宋体" w:eastAsia="宋体" w:cs="宋体"/>
          <w:sz w:val="24"/>
          <w:szCs w:val="24"/>
          <w:lang w:val="en-US" w:eastAsia="zh-CN"/>
        </w:rPr>
        <w:t>在六安市城区范围内</w:t>
      </w:r>
      <w:r>
        <w:rPr>
          <w:rFonts w:hint="eastAsia" w:ascii="宋体" w:hAnsi="宋体" w:eastAsia="宋体" w:cs="宋体"/>
          <w:sz w:val="24"/>
          <w:szCs w:val="24"/>
          <w:lang w:val="zh-CN"/>
        </w:rPr>
        <w:t>新建或租赁可回收物分拣中心场地，面积不得小于</w:t>
      </w:r>
      <w:r>
        <w:rPr>
          <w:rFonts w:hint="eastAsia" w:ascii="宋体" w:hAnsi="宋体" w:eastAsia="宋体" w:cs="宋体"/>
          <w:sz w:val="24"/>
          <w:szCs w:val="24"/>
          <w:lang w:val="en-US" w:eastAsia="zh-CN"/>
        </w:rPr>
        <w:t>3000</w:t>
      </w:r>
      <w:r>
        <w:rPr>
          <w:rFonts w:hint="eastAsia" w:ascii="宋体" w:hAnsi="宋体" w:eastAsia="宋体" w:cs="宋体"/>
          <w:sz w:val="24"/>
          <w:szCs w:val="24"/>
          <w:lang w:val="zh-CN"/>
        </w:rPr>
        <w:t>㎡，</w:t>
      </w:r>
      <w:r>
        <w:rPr>
          <w:rFonts w:hint="eastAsia" w:ascii="宋体" w:hAnsi="宋体" w:eastAsia="宋体" w:cs="宋体"/>
          <w:sz w:val="24"/>
          <w:szCs w:val="24"/>
          <w:lang w:val="en-US" w:eastAsia="zh-CN"/>
        </w:rPr>
        <w:t>配备分拣流水线、打包设备、夹包机、地磅等设施</w:t>
      </w:r>
      <w:r>
        <w:rPr>
          <w:rFonts w:hint="eastAsia" w:ascii="宋体" w:hAnsi="宋体" w:eastAsia="宋体" w:cs="宋体"/>
          <w:sz w:val="24"/>
          <w:szCs w:val="24"/>
          <w:lang w:val="zh-CN"/>
        </w:rPr>
        <w:t>用于可回收物的集中分拣和暂存，</w:t>
      </w:r>
      <w:r>
        <w:rPr>
          <w:rFonts w:hint="eastAsia" w:ascii="宋体" w:hAnsi="宋体" w:eastAsia="宋体" w:cs="宋体"/>
          <w:sz w:val="24"/>
          <w:szCs w:val="24"/>
          <w:lang w:val="en-US" w:eastAsia="zh-CN"/>
        </w:rPr>
        <w:t>组建可回收物清运和分拣人员队伍，对所有智能可回收投口进行日常运营，投入及运营过程中产生的所有费用由中标人承担，自负盈亏。</w:t>
      </w:r>
    </w:p>
    <w:p w14:paraId="7E7E23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420" w:leftChars="200" w:right="0" w:rightChars="0" w:firstLine="0" w:firstLineChars="0"/>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sz w:val="24"/>
          <w:szCs w:val="24"/>
          <w:vertAlign w:val="baseline"/>
          <w:lang w:val="en-US" w:eastAsia="zh-CN"/>
        </w:rPr>
        <w:t>1.6“两网融合”</w:t>
      </w:r>
      <w:r>
        <w:rPr>
          <w:rFonts w:hint="eastAsia" w:ascii="宋体" w:hAnsi="宋体" w:eastAsia="宋体" w:cs="宋体"/>
          <w:b/>
          <w:bCs/>
          <w:color w:val="000000"/>
          <w:kern w:val="0"/>
          <w:sz w:val="24"/>
          <w:szCs w:val="24"/>
          <w:lang w:val="en-US" w:eastAsia="zh-CN" w:bidi="ar"/>
        </w:rPr>
        <w:t>技术要点：</w:t>
      </w:r>
    </w:p>
    <w:p w14:paraId="5BF3C59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1.6.1其他垃圾和厨余垃圾具备脚踩、感应和按钮开门功能，具有防夹手功能、垃圾桶满溢指示功能。</w:t>
      </w:r>
    </w:p>
    <w:p w14:paraId="489298E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1.6.2智能可回收箱和精细分类柜具备扫码、刷卡、NFC、输入手机号或后四位开门功能，对居民投放的可回收物进行现金或积分奖励，提高居民分类积极性。</w:t>
      </w:r>
    </w:p>
    <w:p w14:paraId="590C118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1.6.3所有可回收物的相关数据，连接至安徽省垃圾分类平台。</w:t>
      </w:r>
    </w:p>
    <w:p w14:paraId="4993E7D0">
      <w:pPr>
        <w:pStyle w:val="5"/>
        <w:numPr>
          <w:ilvl w:val="0"/>
          <w:numId w:val="0"/>
        </w:numPr>
        <w:spacing w:before="190" w:line="219" w:lineRule="auto"/>
        <w:ind w:left="569"/>
        <w:outlineLvl w:val="1"/>
        <w:rPr>
          <w:rFonts w:hint="default" w:ascii="宋体" w:hAnsi="宋体" w:eastAsia="宋体" w:cs="宋体"/>
          <w:b/>
          <w:bCs/>
          <w:spacing w:val="-5"/>
          <w:sz w:val="24"/>
          <w:szCs w:val="24"/>
          <w:lang w:val="en-US" w:eastAsia="zh-CN"/>
        </w:rPr>
      </w:pPr>
      <w:r>
        <w:rPr>
          <w:rFonts w:hint="eastAsia" w:ascii="宋体" w:hAnsi="宋体" w:eastAsia="宋体" w:cs="宋体"/>
          <w:b/>
          <w:bCs/>
          <w:spacing w:val="-5"/>
          <w:kern w:val="2"/>
          <w:sz w:val="24"/>
          <w:szCs w:val="24"/>
          <w:lang w:val="en-US" w:eastAsia="zh-CN" w:bidi="ar-SA"/>
        </w:rPr>
        <w:t>（二）</w:t>
      </w:r>
      <w:r>
        <w:rPr>
          <w:rFonts w:hint="eastAsia" w:ascii="宋体" w:hAnsi="宋体" w:eastAsia="宋体" w:cs="宋体"/>
          <w:b/>
          <w:bCs/>
          <w:spacing w:val="-5"/>
          <w:sz w:val="24"/>
          <w:szCs w:val="24"/>
          <w:lang w:val="en-US" w:eastAsia="zh-CN"/>
        </w:rPr>
        <w:t>垃圾分类设施提标改造及运维服务基本功能要求</w:t>
      </w:r>
    </w:p>
    <w:p w14:paraId="302CFD5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200" w:right="0" w:rightChars="0"/>
        <w:jc w:val="left"/>
        <w:textAlignment w:val="auto"/>
        <w:rPr>
          <w:rFonts w:hint="eastAsia" w:ascii="宋体" w:hAnsi="宋体" w:eastAsia="宋体" w:cs="宋体"/>
          <w:b/>
          <w:bCs/>
          <w:spacing w:val="-5"/>
          <w:sz w:val="24"/>
          <w:szCs w:val="24"/>
          <w:lang w:val="en-US" w:eastAsia="zh-CN"/>
        </w:rPr>
      </w:pPr>
      <w:r>
        <w:rPr>
          <w:rFonts w:hint="eastAsia" w:ascii="宋体" w:hAnsi="宋体" w:eastAsia="宋体" w:cs="宋体"/>
          <w:b/>
          <w:bCs/>
          <w:color w:val="000000"/>
          <w:kern w:val="0"/>
          <w:sz w:val="24"/>
          <w:szCs w:val="24"/>
          <w:lang w:val="en-US" w:eastAsia="zh-CN" w:bidi="ar"/>
        </w:rPr>
        <w:t>2.1采购安装236座“两网融合”垃圾分类设施</w:t>
      </w:r>
    </w:p>
    <w:p w14:paraId="183D8C5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在城区现有236座拆除的点位上进行基础改造，满足垃圾分类设施的安装需求，具备通水、通电、通下水的基本功能。采购安装“两网融合”垃圾分类设施，尺寸规格：长*宽*高（mm）为：</w:t>
      </w:r>
      <w:r>
        <w:rPr>
          <w:rFonts w:hint="eastAsia" w:ascii="宋体" w:hAnsi="宋体" w:eastAsia="宋体" w:cs="宋体"/>
          <w:color w:val="000000" w:themeColor="text1"/>
          <w:sz w:val="24"/>
          <w:szCs w:val="24"/>
          <w:highlight w:val="none"/>
          <w:lang w:val="en-US" w:eastAsia="zh-CN"/>
          <w14:textFill>
            <w14:solidFill>
              <w14:schemeClr w14:val="tx1"/>
            </w14:solidFill>
          </w14:textFill>
        </w:rPr>
        <w:t>5000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2500</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00±50mm</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不含飘檐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kern w:val="0"/>
          <w:sz w:val="24"/>
          <w:szCs w:val="24"/>
          <w:lang w:val="en-US" w:eastAsia="zh-CN" w:bidi="ar"/>
        </w:rPr>
        <w:t>采用密闭式箱体形式，具有3个其他垃圾投放口、1个厨余垃圾投放口、1个智能可回收物投放口，1个</w:t>
      </w:r>
      <w:r>
        <w:rPr>
          <w:rFonts w:hint="eastAsia" w:ascii="宋体" w:hAnsi="宋体" w:eastAsia="宋体" w:cs="宋体"/>
          <w:b w:val="0"/>
          <w:bCs w:val="0"/>
          <w:sz w:val="24"/>
          <w:szCs w:val="24"/>
          <w:vertAlign w:val="baseline"/>
          <w:lang w:val="en-US" w:eastAsia="zh-CN"/>
        </w:rPr>
        <w:t>有害垃圾一体化洗手池</w:t>
      </w:r>
      <w:r>
        <w:rPr>
          <w:rFonts w:hint="eastAsia" w:ascii="宋体" w:hAnsi="宋体" w:eastAsia="宋体" w:cs="宋体"/>
          <w:color w:val="000000"/>
          <w:kern w:val="0"/>
          <w:sz w:val="24"/>
          <w:szCs w:val="24"/>
          <w:lang w:val="en-US" w:eastAsia="zh-CN" w:bidi="ar"/>
        </w:rPr>
        <w:t>。其他和厨余垃圾投放口具备脚踩、感应和按钮开门功能，具有防夹手功能、垃圾桶满溢指示功能。智能可回收箱和精细分类柜具备扫码、刷卡、NFC、输入手机号或后四位开门功能，对居民投放的可回收物进行现金或积分奖励。</w:t>
      </w:r>
    </w:p>
    <w:p w14:paraId="7DDC8AB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color w:val="000000"/>
          <w:kern w:val="0"/>
          <w:sz w:val="24"/>
          <w:szCs w:val="24"/>
          <w:lang w:val="en-US" w:eastAsia="zh-CN" w:bidi="ar"/>
        </w:rPr>
        <w:t>2.2</w:t>
      </w:r>
      <w:r>
        <w:rPr>
          <w:rFonts w:hint="eastAsia" w:ascii="宋体" w:hAnsi="宋体" w:eastAsia="宋体" w:cs="宋体"/>
          <w:b/>
          <w:bCs/>
          <w:kern w:val="2"/>
          <w:sz w:val="24"/>
          <w:szCs w:val="24"/>
          <w:vertAlign w:val="baseline"/>
          <w:lang w:val="en-US" w:eastAsia="zh-CN" w:bidi="ar-SA"/>
        </w:rPr>
        <w:t>升级</w:t>
      </w:r>
      <w:r>
        <w:rPr>
          <w:rFonts w:hint="eastAsia" w:ascii="宋体" w:hAnsi="宋体" w:eastAsia="宋体" w:cs="宋体"/>
          <w:b/>
          <w:bCs/>
          <w:sz w:val="24"/>
          <w:szCs w:val="24"/>
          <w:vertAlign w:val="baseline"/>
          <w:lang w:val="en-US" w:eastAsia="zh-CN"/>
        </w:rPr>
        <w:t>605座垃圾分类设施</w:t>
      </w:r>
    </w:p>
    <w:p w14:paraId="3347E2F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2.2.1对城区现有指定位置的236座垃圾分类亭进行保护性拆除，除立柱埋在基础内的采用切割移除外，采用紧固件安装的全部保护性拆除，不得破坏原有结构。对拆建的分类亭进行功能性恢复，不能恢复的部件需要进行更新处理，并对整个分类亭进行翻新喷漆处理。增加有害垃圾一体化洗手池</w:t>
      </w:r>
      <w:r>
        <w:rPr>
          <w:rFonts w:hint="eastAsia" w:ascii="宋体" w:hAnsi="宋体" w:eastAsia="宋体" w:cs="宋体"/>
          <w:color w:val="000000"/>
          <w:kern w:val="0"/>
          <w:sz w:val="24"/>
          <w:szCs w:val="24"/>
          <w:lang w:val="en-US" w:eastAsia="zh-CN" w:bidi="ar"/>
        </w:rPr>
        <w:t>、灭蝇灯、臭氧除臭机及照明灯</w:t>
      </w:r>
      <w:r>
        <w:rPr>
          <w:rFonts w:hint="eastAsia" w:ascii="宋体" w:hAnsi="宋体" w:eastAsia="宋体" w:cs="宋体"/>
          <w:b w:val="0"/>
          <w:bCs w:val="0"/>
          <w:color w:val="000000"/>
          <w:kern w:val="0"/>
          <w:sz w:val="24"/>
          <w:szCs w:val="24"/>
          <w:lang w:val="en-US" w:eastAsia="zh-CN" w:bidi="ar"/>
        </w:rPr>
        <w:t>。对拆除的分类亭独立捆绑所有配件后放置于指定地点，做到一亭一档案，记录分类亭详细拆除的信息。</w:t>
      </w:r>
    </w:p>
    <w:p w14:paraId="307B87E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2.2.2在城郊小区指定地点做好基础，具备通水、通电、通下水功能。具体要求：</w:t>
      </w:r>
      <w:r>
        <w:rPr>
          <w:rFonts w:hint="default" w:ascii="宋体" w:hAnsi="宋体" w:eastAsia="宋体" w:cs="宋体"/>
          <w:b w:val="0"/>
          <w:bCs w:val="0"/>
          <w:color w:val="000000"/>
          <w:kern w:val="0"/>
          <w:sz w:val="24"/>
          <w:szCs w:val="24"/>
          <w:lang w:val="en-US" w:eastAsia="zh-CN" w:bidi="ar"/>
        </w:rPr>
        <w:t>场地清表、反挖、平整、夯实</w:t>
      </w:r>
      <w:r>
        <w:rPr>
          <w:rFonts w:hint="eastAsia" w:ascii="宋体" w:hAnsi="宋体" w:eastAsia="宋体" w:cs="宋体"/>
          <w:b w:val="0"/>
          <w:bCs w:val="0"/>
          <w:color w:val="000000"/>
          <w:kern w:val="0"/>
          <w:sz w:val="24"/>
          <w:szCs w:val="24"/>
          <w:lang w:val="en-US" w:eastAsia="zh-CN" w:bidi="ar"/>
        </w:rPr>
        <w:t>，</w:t>
      </w:r>
      <w:r>
        <w:rPr>
          <w:rFonts w:hint="default" w:ascii="宋体" w:hAnsi="宋体" w:eastAsia="宋体" w:cs="宋体"/>
          <w:b w:val="0"/>
          <w:bCs w:val="0"/>
          <w:color w:val="000000"/>
          <w:kern w:val="0"/>
          <w:sz w:val="24"/>
          <w:szCs w:val="24"/>
          <w:lang w:val="en-US" w:eastAsia="zh-CN" w:bidi="ar"/>
        </w:rPr>
        <w:t>回填未筛分碎石夯实无积水，地漏预置，管线预埋，铺设5cm碎石垫层，浇筑≥100mm厚C20混凝土基础面，</w:t>
      </w:r>
      <w:r>
        <w:rPr>
          <w:rFonts w:hint="eastAsia" w:ascii="宋体" w:hAnsi="宋体" w:eastAsia="宋体" w:cs="宋体"/>
          <w:b w:val="0"/>
          <w:bCs w:val="0"/>
          <w:color w:val="000000"/>
          <w:kern w:val="0"/>
          <w:sz w:val="24"/>
          <w:szCs w:val="24"/>
          <w:lang w:val="en-US" w:eastAsia="zh-CN" w:bidi="ar"/>
        </w:rPr>
        <w:t>并贴防滑地砖。</w:t>
      </w:r>
      <w:r>
        <w:rPr>
          <w:rFonts w:hint="default" w:ascii="宋体" w:hAnsi="宋体" w:eastAsia="宋体" w:cs="宋体"/>
          <w:b w:val="0"/>
          <w:bCs w:val="0"/>
          <w:color w:val="000000"/>
          <w:kern w:val="0"/>
          <w:sz w:val="24"/>
          <w:szCs w:val="24"/>
          <w:lang w:val="en-US" w:eastAsia="zh-CN" w:bidi="ar"/>
        </w:rPr>
        <w:t>投放点硬化并做好防水防渗后，采用≥6根M10*10镀锌膨胀螺栓安装固定亭棚厢房，完成基础面同路面平齐，设置合理排水坡度，不得存水或返水，安装根据投放点位现场实际情况，须做好砖砌或混凝土挡土墙及周围生态环境恢复，并且在保障行人行车安全及垃圾桶出入方便，须硬化连通小区行人或行车道路</w:t>
      </w:r>
      <w:r>
        <w:rPr>
          <w:rFonts w:hint="eastAsia" w:ascii="宋体" w:hAnsi="宋体" w:eastAsia="宋体" w:cs="宋体"/>
          <w:b w:val="0"/>
          <w:bCs w:val="0"/>
          <w:color w:val="000000"/>
          <w:kern w:val="0"/>
          <w:sz w:val="24"/>
          <w:szCs w:val="24"/>
          <w:lang w:val="en-US" w:eastAsia="zh-CN" w:bidi="ar"/>
        </w:rPr>
        <w:t>。</w:t>
      </w:r>
      <w:r>
        <w:rPr>
          <w:rFonts w:hint="default" w:ascii="宋体" w:hAnsi="宋体" w:eastAsia="宋体" w:cs="宋体"/>
          <w:b w:val="0"/>
          <w:bCs w:val="0"/>
          <w:color w:val="000000"/>
          <w:kern w:val="0"/>
          <w:sz w:val="24"/>
          <w:szCs w:val="24"/>
          <w:lang w:val="en-US" w:eastAsia="zh-CN" w:bidi="ar"/>
        </w:rPr>
        <w:t>投放点附近水源取水，采用PE20管连通至投放点内,给水管线路全部地埋≥200mm，做好给水管线路地面反挖、夯实、回填，线路恢复，包含水表，闸阀，管道等一切材料。污水排污管道根据现场实地情况设置合理深度及坡度，便于排放不沉积，做好排污管线路地面反挖、夯实、回填、线路恢复。</w:t>
      </w:r>
    </w:p>
    <w:p w14:paraId="04A722C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2.2.3对现有城区369座分类亭的简易垃圾分类亭进行升级，增加有害垃圾一体化洗手池</w:t>
      </w:r>
      <w:r>
        <w:rPr>
          <w:rFonts w:hint="eastAsia" w:ascii="宋体" w:hAnsi="宋体" w:eastAsia="宋体" w:cs="宋体"/>
          <w:color w:val="000000"/>
          <w:kern w:val="0"/>
          <w:sz w:val="24"/>
          <w:szCs w:val="24"/>
          <w:lang w:val="en-US" w:eastAsia="zh-CN" w:bidi="ar"/>
        </w:rPr>
        <w:t>、灭蝇灯、臭氧除臭机及照明灯，</w:t>
      </w:r>
      <w:r>
        <w:rPr>
          <w:rFonts w:hint="eastAsia" w:ascii="宋体" w:hAnsi="宋体" w:eastAsia="宋体" w:cs="宋体"/>
          <w:color w:val="000000" w:themeColor="text1"/>
          <w:sz w:val="24"/>
          <w:szCs w:val="24"/>
          <w:lang w:val="en-US" w:eastAsia="zh-CN"/>
          <w14:textFill>
            <w14:solidFill>
              <w14:schemeClr w14:val="tx1"/>
            </w14:solidFill>
          </w14:textFill>
        </w:rPr>
        <w:t>并对基础部分进行对应改造，</w:t>
      </w:r>
      <w:r>
        <w:rPr>
          <w:rFonts w:hint="eastAsia" w:ascii="宋体" w:hAnsi="宋体" w:eastAsia="宋体" w:cs="宋体"/>
          <w:color w:val="000000"/>
          <w:kern w:val="0"/>
          <w:sz w:val="24"/>
          <w:szCs w:val="24"/>
          <w:lang w:val="en-US" w:eastAsia="zh-CN" w:bidi="ar"/>
        </w:rPr>
        <w:t>具备通水、通电、通下水功能，由中标人自行配置“两网融合”可回收物回收柜，安装位置因地制宜</w:t>
      </w:r>
      <w:r>
        <w:rPr>
          <w:rFonts w:hint="eastAsia" w:ascii="宋体" w:hAnsi="宋体" w:eastAsia="宋体" w:cs="宋体"/>
          <w:b w:val="0"/>
          <w:bCs w:val="0"/>
          <w:sz w:val="24"/>
          <w:szCs w:val="24"/>
          <w:vertAlign w:val="baseline"/>
          <w:lang w:val="en-US" w:eastAsia="zh-CN"/>
        </w:rPr>
        <w:t>。</w:t>
      </w:r>
    </w:p>
    <w:p w14:paraId="686DA82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2.2.4对现有分类亭尺寸不符合要求的进行一点位一方案改造，协调物业，报批属地社区同意后供货。</w:t>
      </w:r>
    </w:p>
    <w:p w14:paraId="098435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2" w:firstLineChars="200"/>
        <w:jc w:val="left"/>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2.3升级两个示范小区</w:t>
      </w:r>
      <w:r>
        <w:rPr>
          <w:rFonts w:hint="eastAsia" w:ascii="宋体" w:hAnsi="宋体" w:eastAsia="宋体" w:cs="宋体"/>
          <w:b/>
          <w:bCs/>
          <w:sz w:val="24"/>
          <w:szCs w:val="24"/>
          <w:vertAlign w:val="baseline"/>
          <w:lang w:val="en-US" w:eastAsia="zh-CN"/>
        </w:rPr>
        <w:t>高标准垃圾</w:t>
      </w:r>
      <w:r>
        <w:rPr>
          <w:rFonts w:hint="eastAsia" w:ascii="宋体" w:hAnsi="宋体" w:eastAsia="宋体" w:cs="宋体"/>
          <w:b/>
          <w:bCs/>
          <w:color w:val="000000" w:themeColor="text1"/>
          <w:sz w:val="24"/>
          <w:szCs w:val="24"/>
          <w:lang w:val="en-US" w:eastAsia="zh-CN"/>
          <w14:textFill>
            <w14:solidFill>
              <w14:schemeClr w14:val="tx1"/>
            </w14:solidFill>
          </w14:textFill>
        </w:rPr>
        <w:t>分类设施</w:t>
      </w:r>
    </w:p>
    <w:p w14:paraId="1A792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sz w:val="24"/>
          <w:szCs w:val="24"/>
          <w:vertAlign w:val="baseline"/>
          <w:lang w:val="en-US" w:eastAsia="zh-CN"/>
        </w:rPr>
        <w:t>在城区升级两个高标准“两网融合”垃圾分类示范小区，对现有垃圾分类设施进行升级。采购安装6座高标准示范“两网融合”垃圾分类房，需配置60个240L垃圾桶。</w:t>
      </w:r>
    </w:p>
    <w:p w14:paraId="321DF94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2" w:firstLineChars="200"/>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sz w:val="24"/>
          <w:szCs w:val="24"/>
          <w:vertAlign w:val="baseline"/>
          <w:lang w:val="en-US" w:eastAsia="zh-CN"/>
        </w:rPr>
        <w:t>2.4</w:t>
      </w:r>
      <w:r>
        <w:rPr>
          <w:rFonts w:hint="eastAsia" w:ascii="宋体" w:hAnsi="宋体" w:eastAsia="宋体" w:cs="宋体"/>
          <w:b/>
          <w:bCs/>
          <w:color w:val="000000"/>
          <w:kern w:val="0"/>
          <w:sz w:val="24"/>
          <w:szCs w:val="24"/>
          <w:lang w:val="en-US" w:eastAsia="zh-CN" w:bidi="ar"/>
        </w:rPr>
        <w:t>垃圾分类管理平台的建设管理维护</w:t>
      </w:r>
    </w:p>
    <w:p w14:paraId="051EEF5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2.4.1垃圾分类管理系统概述：本项目智慧垃圾分类管理系统含软件平台和APP，实现对城市智能垃圾分类设施的远程监控、智能识别、数据分析和管理功能，采用“两网融合”创新模式，提高可回收物回收效率，降低运营成本，推进垃圾分类智能化、信息化建设。</w:t>
      </w:r>
      <w:r>
        <w:rPr>
          <w:rFonts w:hint="eastAsia" w:ascii="宋体" w:hAnsi="宋体" w:eastAsia="宋体" w:cs="宋体"/>
          <w:b w:val="0"/>
          <w:bCs w:val="0"/>
          <w:sz w:val="24"/>
          <w:szCs w:val="24"/>
          <w:u w:val="none"/>
          <w:vertAlign w:val="baseline"/>
          <w:lang w:val="en-US" w:eastAsia="zh-CN"/>
        </w:rPr>
        <w:t>此部分费用包含在总价中，不另行报价。</w:t>
      </w:r>
    </w:p>
    <w:p w14:paraId="27B6F6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2.4.2系统需支持多型号智能垃圾分类设备的接入，软件应能实现可回收物、厨余垃圾和其他垃圾的智能识别、称重、计价和激励管理，同时需与省市各级政府垃圾分类管理平台实现数据对接和共享。</w:t>
      </w:r>
    </w:p>
    <w:p w14:paraId="07CA125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exact"/>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2.4.3具体功能板块要求如下：</w:t>
      </w:r>
    </w:p>
    <w:tbl>
      <w:tblPr>
        <w:tblStyle w:val="15"/>
        <w:tblW w:w="91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 w:type="dxa"/>
          <w:bottom w:w="0" w:type="dxa"/>
          <w:right w:w="10" w:type="dxa"/>
        </w:tblCellMar>
      </w:tblPr>
      <w:tblGrid>
        <w:gridCol w:w="707"/>
        <w:gridCol w:w="810"/>
        <w:gridCol w:w="7591"/>
      </w:tblGrid>
      <w:tr w14:paraId="2B52C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55CBB142">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b/>
                <w:bCs/>
                <w:color w:val="000000"/>
                <w:kern w:val="2"/>
                <w:sz w:val="24"/>
                <w:szCs w:val="24"/>
              </w:rPr>
            </w:pPr>
            <w:r>
              <w:rPr>
                <w:rFonts w:hint="eastAsia" w:ascii="宋体" w:hAnsi="宋体" w:eastAsia="宋体" w:cs="宋体"/>
                <w:b/>
                <w:bCs/>
                <w:color w:val="000000"/>
                <w:kern w:val="2"/>
                <w:sz w:val="24"/>
                <w:szCs w:val="24"/>
                <w:lang w:val="en-US" w:eastAsia="zh-CN" w:bidi="ar"/>
              </w:rPr>
              <w:t>序号</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2E76D2DD">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b/>
                <w:bCs/>
                <w:color w:val="000000"/>
                <w:kern w:val="2"/>
                <w:sz w:val="24"/>
                <w:szCs w:val="24"/>
              </w:rPr>
            </w:pPr>
            <w:r>
              <w:rPr>
                <w:rFonts w:hint="eastAsia" w:ascii="宋体" w:hAnsi="宋体" w:eastAsia="宋体" w:cs="宋体"/>
                <w:b/>
                <w:bCs/>
                <w:color w:val="000000"/>
                <w:kern w:val="2"/>
                <w:sz w:val="24"/>
                <w:szCs w:val="24"/>
                <w:lang w:val="en-US" w:eastAsia="zh-CN" w:bidi="ar"/>
              </w:rPr>
              <w:t>模块名称</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39CB446">
            <w:pPr>
              <w:keepNext w:val="0"/>
              <w:keepLines w:val="0"/>
              <w:widowControl w:val="0"/>
              <w:suppressLineNumbers w:val="0"/>
              <w:snapToGrid w:val="0"/>
              <w:spacing w:before="40" w:beforeAutospacing="0" w:after="4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b/>
                <w:bCs/>
                <w:color w:val="000000"/>
                <w:kern w:val="2"/>
                <w:sz w:val="24"/>
                <w:szCs w:val="24"/>
                <w:lang w:val="en-US" w:eastAsia="zh-CN" w:bidi="ar"/>
              </w:rPr>
              <w:t>功能参数及要求</w:t>
            </w:r>
          </w:p>
        </w:tc>
      </w:tr>
      <w:tr w14:paraId="4289E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2803"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0BD64F9F">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211740C3">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综合展示平台</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5CB68D1">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1、集中展示智能分类收集设施运营静态信息（设备分布小区、投放点、中转站等的分布情况）与动态信息（投递、清运情况），通过</w:t>
            </w:r>
            <w:r>
              <w:rPr>
                <w:rFonts w:hint="eastAsia" w:ascii="宋体" w:hAnsi="宋体" w:eastAsia="宋体" w:cs="@仿宋_GB2312"/>
                <w:color w:val="000000"/>
                <w:kern w:val="2"/>
                <w:sz w:val="24"/>
                <w:szCs w:val="24"/>
                <w:lang w:val="en-US" w:eastAsia="zh-CN" w:bidi="ar"/>
              </w:rPr>
              <w:t>GIS一张图直观展示。运用大数据技术、数据挖掘技术等将整个回收过程中采集的业务监管数据、作业考核数据、公众参与数据等进行重组整合，形成驾驶舱综合展示，对整体回收工作未来规划决策支持数据；</w:t>
            </w:r>
          </w:p>
          <w:p w14:paraId="7A15057F">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2、主要展示内容：设备运行状态概览（在线</w:t>
            </w:r>
            <w:r>
              <w:rPr>
                <w:rFonts w:hint="eastAsia" w:ascii="宋体" w:hAnsi="宋体" w:eastAsia="宋体" w:cs="@仿宋_GB2312"/>
                <w:color w:val="000000"/>
                <w:kern w:val="2"/>
                <w:sz w:val="24"/>
                <w:szCs w:val="24"/>
                <w:lang w:val="en-US" w:eastAsia="zh-CN" w:bidi="ar"/>
              </w:rPr>
              <w:t>/离线/告警）今日投递量、投递次数、投递用户数实时积分发放、提现统计</w:t>
            </w:r>
            <w:r>
              <w:rPr>
                <w:rFonts w:hint="eastAsia" w:ascii="宋体" w:hAnsi="宋体" w:eastAsia="宋体" w:cs="宋体"/>
                <w:color w:val="000000"/>
                <w:kern w:val="2"/>
                <w:sz w:val="24"/>
                <w:szCs w:val="24"/>
                <w:lang w:val="en-US" w:eastAsia="zh-CN" w:bidi="ar"/>
              </w:rPr>
              <w:t>可回收物分类统计碳减排贡献统计设备趋势图、用户趋势图、积分趋势图。</w:t>
            </w:r>
          </w:p>
        </w:tc>
      </w:tr>
      <w:tr w14:paraId="42972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2AFA3E8F">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7ACE2314">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设备管理系统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C8EDABC">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1、设备信息管理：用于管理</w:t>
            </w:r>
            <w:r>
              <w:rPr>
                <w:rFonts w:hint="eastAsia" w:ascii="宋体" w:hAnsi="宋体" w:eastAsia="宋体" w:cs="宋体"/>
                <w:color w:val="000000"/>
                <w:kern w:val="2"/>
                <w:sz w:val="24"/>
                <w:szCs w:val="24"/>
                <w:lang w:val="en-US" w:eastAsia="zh-CN" w:bidi="ar"/>
              </w:rPr>
              <w:t>智能分类收集设施设备的基础信息，包括设备编号、设备名称、安装位置、所属小区、联系人、联系电话、设备状态等，支持二维码打印；</w:t>
            </w:r>
          </w:p>
          <w:p w14:paraId="58547D62">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2、设备地图分布：通过GIS地图展示所有设备的位置和状态信息，支持按区域、按状态筛选，点击设备可查看详细信息；</w:t>
            </w:r>
          </w:p>
          <w:p w14:paraId="37C89E31">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3、设备实时监控：设备在线状态监控（在线/离线）箱体状态监控（各箱门开启状态）环境参数监控（温度、湿度、电压）称重数据监控（实时重量）网络状态监控（4G信号强度）AI质检状态监控；</w:t>
            </w:r>
          </w:p>
          <w:p w14:paraId="5737E038">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4、设备远程控制：远程开门/关门远程校准称重传感器远程重启设备远程升级固件（OTA）远程修改设备参数；</w:t>
            </w:r>
          </w:p>
          <w:p w14:paraId="5FF0658E">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5、设备分组管理：按区域、按设备类型进行分组，支持批量操作。</w:t>
            </w:r>
          </w:p>
          <w:p w14:paraId="4D61BD4D">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6、设备健康自检：设备定期自检并上报状态，包括传感器状态、门锁状态、通信状态等。</w:t>
            </w:r>
          </w:p>
        </w:tc>
      </w:tr>
      <w:tr w14:paraId="79740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655"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7EF8C26E">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3</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44C0DFAA">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用户与积分/资金管理系统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66EFA74">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1、用户信息管理：支持多种用户类型：手机号用户、IC卡用户、人脸识别用户、二维码用户信息包括：姓名、手机号、卡号、人脸特征、注册时间、积分余额、现金余额支持用户拉黑、挂失、解挂</w:t>
            </w:r>
            <w:r>
              <w:rPr>
                <w:rFonts w:hint="eastAsia" w:ascii="宋体" w:hAnsi="宋体" w:eastAsia="宋体" w:cs="宋体"/>
                <w:color w:val="000000"/>
                <w:kern w:val="2"/>
                <w:sz w:val="24"/>
                <w:szCs w:val="24"/>
                <w:lang w:val="en-US" w:eastAsia="zh-CN" w:bidi="ar"/>
              </w:rPr>
              <w:t>、代提现操作、支持批量导入用户；</w:t>
            </w:r>
          </w:p>
          <w:p w14:paraId="480A9256">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2、家庭户账户管理</w:t>
            </w:r>
            <w:r>
              <w:rPr>
                <w:rFonts w:hint="eastAsia" w:ascii="宋体" w:hAnsi="宋体" w:eastAsia="宋体" w:cs="宋体"/>
                <w:color w:val="000000"/>
                <w:kern w:val="2"/>
                <w:sz w:val="24"/>
                <w:szCs w:val="24"/>
                <w:lang w:val="en-US" w:eastAsia="zh-CN" w:bidi="ar"/>
              </w:rPr>
              <w:t>：户主可创建家庭户，邀请家庭成员加入支持手机号、</w:t>
            </w:r>
            <w:r>
              <w:rPr>
                <w:rFonts w:hint="eastAsia" w:ascii="宋体" w:hAnsi="宋体" w:eastAsia="宋体" w:cs="@仿宋_GB2312"/>
                <w:color w:val="000000"/>
                <w:kern w:val="2"/>
                <w:sz w:val="24"/>
                <w:szCs w:val="24"/>
                <w:lang w:val="en-US" w:eastAsia="zh-CN" w:bidi="ar"/>
              </w:rPr>
              <w:t>IC卡等多种方式绑定家庭成员</w:t>
            </w:r>
            <w:r>
              <w:rPr>
                <w:rFonts w:hint="eastAsia" w:ascii="宋体" w:hAnsi="宋体" w:eastAsia="宋体" w:cs="宋体"/>
                <w:color w:val="000000"/>
                <w:kern w:val="2"/>
                <w:sz w:val="24"/>
                <w:szCs w:val="24"/>
                <w:lang w:val="en-US" w:eastAsia="zh-CN" w:bidi="ar"/>
              </w:rPr>
              <w:t>、家庭成员投递获得的积分自动汇聚到家庭账户、支持家庭积分分配规则设置、支持家庭户解绑；</w:t>
            </w:r>
          </w:p>
          <w:p w14:paraId="506DAE2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3、积分管理：积分规则配置：</w:t>
            </w:r>
            <w:r>
              <w:rPr>
                <w:rFonts w:hint="eastAsia" w:ascii="宋体" w:hAnsi="宋体" w:eastAsia="宋体" w:cs="宋体"/>
                <w:color w:val="000000"/>
                <w:kern w:val="2"/>
                <w:sz w:val="24"/>
                <w:szCs w:val="24"/>
                <w:lang w:val="en-US" w:eastAsia="zh-CN" w:bidi="ar"/>
              </w:rPr>
              <w:t>按预定积分规则进行积分奖励，支持手动增减积分，可设置变更原因积分明细查询：查询用户积分来源和消费记录积分排行：按小区、按街道进行积分排名；</w:t>
            </w:r>
          </w:p>
          <w:p w14:paraId="308C9D91">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4、现金管理：用户积分提现至微信钱包</w:t>
            </w:r>
            <w:r>
              <w:rPr>
                <w:rFonts w:hint="eastAsia" w:ascii="宋体" w:hAnsi="宋体" w:eastAsia="宋体" w:cs="宋体"/>
                <w:color w:val="000000"/>
                <w:kern w:val="2"/>
                <w:sz w:val="24"/>
                <w:szCs w:val="24"/>
                <w:lang w:val="en-US" w:eastAsia="zh-CN" w:bidi="ar"/>
              </w:rPr>
              <w:t>、银行卡提现申请审批流程、提现记录查询；</w:t>
            </w:r>
          </w:p>
          <w:p w14:paraId="21ED4F33">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w:t>
            </w:r>
            <w:r>
              <w:rPr>
                <w:rFonts w:hint="eastAsia" w:ascii="宋体" w:hAnsi="宋体" w:eastAsia="宋体" w:cs="宋体"/>
                <w:color w:val="000000"/>
                <w:kern w:val="2"/>
                <w:sz w:val="24"/>
                <w:szCs w:val="24"/>
                <w:lang w:val="en-US" w:eastAsia="zh-CN" w:bidi="ar"/>
              </w:rPr>
              <w:t>排行榜管理：设置居民垃圾分类激励机制、定时公示分类优秀用户排名、支持导出功能。</w:t>
            </w:r>
          </w:p>
        </w:tc>
      </w:tr>
      <w:tr w14:paraId="10DE6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4205"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3CE00EF5">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4</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6E599DDC">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投递运营管理系统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0811A4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1、投递记录管理：记录每一次用户投递行为投递记录包括：用户信息、设备信息、投放时间、</w:t>
            </w:r>
            <w:r>
              <w:rPr>
                <w:rFonts w:hint="eastAsia" w:ascii="宋体" w:hAnsi="宋体" w:eastAsia="宋体" w:cs="宋体"/>
                <w:color w:val="000000"/>
                <w:kern w:val="2"/>
                <w:sz w:val="24"/>
                <w:szCs w:val="24"/>
                <w:lang w:val="en-US" w:eastAsia="zh-CN" w:bidi="ar"/>
              </w:rPr>
              <w:t>可回收物类型、重量、积分、照片等信息支持按时间、按设备、按用户等条件查询支持导出</w:t>
            </w:r>
            <w:r>
              <w:rPr>
                <w:rFonts w:hint="eastAsia" w:ascii="宋体" w:hAnsi="宋体" w:eastAsia="宋体" w:cs="@仿宋_GB2312"/>
                <w:color w:val="000000"/>
                <w:kern w:val="2"/>
                <w:sz w:val="24"/>
                <w:szCs w:val="24"/>
                <w:lang w:val="en-US" w:eastAsia="zh-CN" w:bidi="ar"/>
              </w:rPr>
              <w:t>Excel报表；</w:t>
            </w:r>
          </w:p>
          <w:p w14:paraId="3ECA792F">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2、投递统计：分类投递量统计</w:t>
            </w:r>
            <w:r>
              <w:rPr>
                <w:rFonts w:hint="eastAsia" w:ascii="宋体" w:hAnsi="宋体" w:eastAsia="宋体" w:cs="宋体"/>
                <w:color w:val="000000"/>
                <w:kern w:val="2"/>
                <w:sz w:val="24"/>
                <w:szCs w:val="24"/>
                <w:lang w:val="en-US" w:eastAsia="zh-CN" w:bidi="ar"/>
              </w:rPr>
              <w:t>、投递次数统计、投递用户数统计、不同渠道投递次数统计；</w:t>
            </w:r>
          </w:p>
          <w:p w14:paraId="68834106">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w:t>
            </w:r>
            <w:r>
              <w:rPr>
                <w:rFonts w:hint="eastAsia" w:ascii="宋体" w:hAnsi="宋体" w:eastAsia="宋体" w:cs="宋体"/>
                <w:color w:val="000000"/>
                <w:kern w:val="2"/>
                <w:sz w:val="24"/>
                <w:szCs w:val="24"/>
                <w:lang w:val="en-US" w:eastAsia="zh-CN" w:bidi="ar"/>
              </w:rPr>
              <w:t>可回收物管理：可回收物类型定义、可回收物价格配置（按类型设置单价）、可回收物重量统计；</w:t>
            </w:r>
          </w:p>
          <w:p w14:paraId="023CF7CD">
            <w:pPr>
              <w:keepNext w:val="0"/>
              <w:keepLines w:val="0"/>
              <w:widowControl w:val="0"/>
              <w:numPr>
                <w:ilvl w:val="0"/>
                <w:numId w:val="0"/>
              </w:numPr>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default" w:ascii="Times New Roman" w:hAnsi="Times New Roman" w:eastAsia="宋体" w:cs="Times New Roman"/>
                <w:color w:val="000000"/>
                <w:kern w:val="2"/>
                <w:sz w:val="24"/>
                <w:szCs w:val="24"/>
                <w:lang w:val="en-US" w:eastAsia="zh-CN" w:bidi="ar-SA"/>
              </w:rPr>
              <w:t>4</w:t>
            </w:r>
            <w:r>
              <w:rPr>
                <w:rFonts w:hint="eastAsia" w:ascii="Times New Roman" w:hAnsi="Times New Roman" w:eastAsia="宋体" w:cs="Times New Roman"/>
                <w:color w:val="000000"/>
                <w:kern w:val="2"/>
                <w:sz w:val="24"/>
                <w:szCs w:val="24"/>
                <w:lang w:val="en-US" w:eastAsia="zh-CN" w:bidi="ar-SA"/>
              </w:rPr>
              <w:t>、</w:t>
            </w:r>
            <w:r>
              <w:rPr>
                <w:rFonts w:hint="eastAsia" w:ascii="宋体" w:hAnsi="宋体" w:eastAsia="宋体" w:cs="@仿宋_GB2312"/>
                <w:color w:val="000000"/>
                <w:kern w:val="2"/>
                <w:sz w:val="24"/>
                <w:szCs w:val="24"/>
                <w:lang w:val="en-US" w:eastAsia="zh-CN" w:bidi="ar"/>
              </w:rPr>
              <w:t>AI质检管理</w:t>
            </w:r>
            <w:r>
              <w:rPr>
                <w:rFonts w:hint="eastAsia" w:ascii="宋体" w:hAnsi="宋体" w:eastAsia="宋体" w:cs="宋体"/>
                <w:color w:val="000000"/>
                <w:kern w:val="2"/>
                <w:sz w:val="24"/>
                <w:szCs w:val="24"/>
                <w:lang w:val="en-US" w:eastAsia="zh-CN" w:bidi="ar"/>
              </w:rPr>
              <w:t>：</w:t>
            </w:r>
            <w:r>
              <w:rPr>
                <w:rFonts w:hint="eastAsia" w:ascii="宋体" w:hAnsi="宋体" w:eastAsia="宋体" w:cs="@仿宋_GB2312"/>
                <w:color w:val="000000"/>
                <w:kern w:val="2"/>
                <w:sz w:val="24"/>
                <w:szCs w:val="24"/>
                <w:lang w:val="en-US" w:eastAsia="zh-CN" w:bidi="ar"/>
              </w:rPr>
              <w:t>AI模型管理：模型版本、识别准确率、更新时间</w:t>
            </w:r>
            <w:r>
              <w:rPr>
                <w:rFonts w:hint="eastAsia" w:ascii="宋体" w:hAnsi="宋体" w:eastAsia="宋体" w:cs="宋体"/>
                <w:color w:val="000000"/>
                <w:kern w:val="2"/>
                <w:sz w:val="24"/>
                <w:szCs w:val="24"/>
                <w:lang w:val="en-US" w:eastAsia="zh-CN" w:bidi="ar"/>
              </w:rPr>
              <w:t>、质检记录查询、每次投递的</w:t>
            </w:r>
            <w:r>
              <w:rPr>
                <w:rFonts w:hint="eastAsia" w:ascii="宋体" w:hAnsi="宋体" w:eastAsia="宋体" w:cs="@仿宋_GB2312"/>
                <w:color w:val="000000"/>
                <w:kern w:val="2"/>
                <w:sz w:val="24"/>
                <w:szCs w:val="24"/>
                <w:lang w:val="en-US" w:eastAsia="zh-CN" w:bidi="ar"/>
              </w:rPr>
              <w:t>AI识别结果异常投递告警</w:t>
            </w:r>
            <w:r>
              <w:rPr>
                <w:rFonts w:hint="eastAsia" w:ascii="宋体" w:hAnsi="宋体" w:eastAsia="宋体" w:cs="宋体"/>
                <w:color w:val="000000"/>
                <w:kern w:val="2"/>
                <w:sz w:val="24"/>
                <w:szCs w:val="24"/>
                <w:lang w:val="en-US" w:eastAsia="zh-CN" w:bidi="ar"/>
              </w:rPr>
              <w:t>、自动识别并告警异常投递行为质检统计、异常投递率、识别准确率等指标；</w:t>
            </w:r>
          </w:p>
          <w:p w14:paraId="27CBB977">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5、碳减排统计：按</w:t>
            </w:r>
            <w:r>
              <w:rPr>
                <w:rFonts w:hint="eastAsia" w:ascii="宋体" w:hAnsi="宋体" w:eastAsia="宋体" w:cs="宋体"/>
                <w:color w:val="000000"/>
                <w:kern w:val="2"/>
                <w:sz w:val="24"/>
                <w:szCs w:val="24"/>
                <w:lang w:val="en-US" w:eastAsia="zh-CN" w:bidi="ar"/>
              </w:rPr>
              <w:t>可回收物类型统计碳减排量、生成个人环保档案环保贡献排行榜。</w:t>
            </w:r>
          </w:p>
        </w:tc>
      </w:tr>
      <w:tr w14:paraId="0F798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3867"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0EF2D2F5">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479EE6C6">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预警管理系统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B62FD4D">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1、预警类型配置：</w:t>
            </w:r>
            <w:r>
              <w:rPr>
                <w:rFonts w:hint="eastAsia" w:ascii="宋体" w:hAnsi="宋体" w:eastAsia="宋体" w:cs="宋体"/>
                <w:color w:val="000000"/>
                <w:kern w:val="2"/>
                <w:sz w:val="24"/>
                <w:szCs w:val="24"/>
                <w:lang w:val="en-US" w:eastAsia="zh-CN" w:bidi="ar"/>
              </w:rPr>
              <w:t>满溢告警：箱体满溢超过阈值</w:t>
            </w:r>
            <w:r>
              <w:rPr>
                <w:rFonts w:hint="eastAsia" w:ascii="宋体" w:hAnsi="宋体" w:eastAsia="宋体" w:cs="@仿宋_GB2312"/>
                <w:color w:val="000000"/>
                <w:kern w:val="2"/>
                <w:sz w:val="24"/>
                <w:szCs w:val="24"/>
                <w:lang w:val="en-US" w:eastAsia="zh-CN" w:bidi="ar"/>
              </w:rPr>
              <w:t>AI质检异常：检测到投递物不符合要求；</w:t>
            </w:r>
            <w:r>
              <w:rPr>
                <w:rFonts w:hint="eastAsia" w:ascii="宋体" w:hAnsi="宋体" w:eastAsia="宋体" w:cs="宋体"/>
                <w:color w:val="000000"/>
                <w:kern w:val="2"/>
                <w:sz w:val="24"/>
                <w:szCs w:val="24"/>
                <w:lang w:val="en-US" w:eastAsia="zh-CN" w:bidi="ar"/>
              </w:rPr>
              <w:t>烟雾预警：检测到异常烟雾；离线报警：设备离线超过设定时间称重异常、称重数据超出正常范围影像采集异常、摄像头故障或遮挡设备异常跳闸、设备断电或重启电子锁异常、门锁状态异常通讯异常、网络连接异常；</w:t>
            </w:r>
          </w:p>
          <w:p w14:paraId="1958F187">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2、预警记录管理：预警列表：显示所有预警记录预警详情</w:t>
            </w:r>
            <w:r>
              <w:rPr>
                <w:rFonts w:hint="eastAsia" w:ascii="宋体" w:hAnsi="宋体" w:eastAsia="宋体" w:cs="宋体"/>
                <w:color w:val="000000"/>
                <w:kern w:val="2"/>
                <w:sz w:val="24"/>
                <w:szCs w:val="24"/>
                <w:lang w:val="en-US" w:eastAsia="zh-CN" w:bidi="ar"/>
              </w:rPr>
              <w:t>、设备信息、小区、预警类型、预警时间、状态、处理人、处理结果预警统计、按类型、按小区统计预警数量；</w:t>
            </w:r>
          </w:p>
          <w:p w14:paraId="4A022A9B">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3、满溢设备管理：满溢设备列表新增满溢设备标记自动触发清运任务；</w:t>
            </w:r>
          </w:p>
          <w:p w14:paraId="3E1427DD">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4、预警规则配置：预警阈值设置预警通知方式（短信/推送/邮件）预警级别设置。</w:t>
            </w:r>
          </w:p>
        </w:tc>
      </w:tr>
      <w:tr w14:paraId="104BE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11315193">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6</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24B18280">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清运管理系统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05AE9478">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1、清运任务管理：基于满溢预警自动生成清运任务</w:t>
            </w:r>
            <w:r>
              <w:rPr>
                <w:rFonts w:hint="eastAsia" w:ascii="宋体" w:hAnsi="宋体" w:eastAsia="宋体" w:cs="宋体"/>
                <w:color w:val="000000"/>
                <w:kern w:val="2"/>
                <w:sz w:val="24"/>
                <w:szCs w:val="24"/>
                <w:lang w:val="en-US" w:eastAsia="zh-CN" w:bidi="ar"/>
              </w:rPr>
              <w:t>、支持手动创建清运任务、任务分配给指定物业及可回收物清运员、任务状态跟踪（待处理</w:t>
            </w:r>
            <w:r>
              <w:rPr>
                <w:rFonts w:hint="eastAsia" w:ascii="宋体" w:hAnsi="宋体" w:eastAsia="宋体" w:cs="@仿宋_GB2312"/>
                <w:color w:val="000000"/>
                <w:kern w:val="2"/>
                <w:sz w:val="24"/>
                <w:szCs w:val="24"/>
                <w:lang w:val="en-US" w:eastAsia="zh-CN" w:bidi="ar"/>
              </w:rPr>
              <w:t>/处理中/已完成）‘</w:t>
            </w:r>
          </w:p>
          <w:p w14:paraId="55291099">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2、清运路线规划：智能规划最优清运路线</w:t>
            </w:r>
            <w:r>
              <w:rPr>
                <w:rFonts w:hint="eastAsia" w:ascii="宋体" w:hAnsi="宋体" w:eastAsia="宋体" w:cs="宋体"/>
                <w:color w:val="000000"/>
                <w:kern w:val="2"/>
                <w:sz w:val="24"/>
                <w:szCs w:val="24"/>
                <w:lang w:val="en-US" w:eastAsia="zh-CN" w:bidi="ar"/>
              </w:rPr>
              <w:t>、支持手动调整路线、历史路线记录；</w:t>
            </w:r>
          </w:p>
          <w:p w14:paraId="52CE8279">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3、清运员调度：清运员信息管理</w:t>
            </w:r>
            <w:r>
              <w:rPr>
                <w:rFonts w:hint="eastAsia" w:ascii="宋体" w:hAnsi="宋体" w:eastAsia="宋体" w:cs="宋体"/>
                <w:color w:val="000000"/>
                <w:kern w:val="2"/>
                <w:sz w:val="24"/>
                <w:szCs w:val="24"/>
                <w:lang w:val="en-US" w:eastAsia="zh-CN" w:bidi="ar"/>
              </w:rPr>
              <w:t>、当前位置实时显示、工作量统计。</w:t>
            </w:r>
          </w:p>
          <w:p w14:paraId="682F59AA">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4、收集记录管理：生成的分类收集记录，包括收集点编码、收集点名称、垃圾类型、重量、分类评价、清运人员等信息；</w:t>
            </w:r>
          </w:p>
          <w:p w14:paraId="32594E60">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5、收运结果汇总：对车辆收运结果统一汇总分析</w:t>
            </w:r>
            <w:r>
              <w:rPr>
                <w:rFonts w:hint="eastAsia" w:ascii="宋体" w:hAnsi="宋体" w:eastAsia="宋体" w:cs="宋体"/>
                <w:color w:val="000000"/>
                <w:kern w:val="2"/>
                <w:sz w:val="24"/>
                <w:szCs w:val="24"/>
                <w:lang w:val="en-US" w:eastAsia="zh-CN" w:bidi="ar"/>
              </w:rPr>
              <w:t>、统计各清运员的收运量、收运效率分析。</w:t>
            </w:r>
          </w:p>
        </w:tc>
      </w:tr>
      <w:tr w14:paraId="08E2F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038ACC88">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7</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5921B380">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统计报表系统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5A908148">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将整个回收过程中采集的运营数据、作业考核数据等进行统计，形成各类统计报表：</w:t>
            </w:r>
          </w:p>
          <w:p w14:paraId="1005FED8">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1、投递统计报表：</w:t>
            </w:r>
            <w:r>
              <w:rPr>
                <w:rFonts w:hint="eastAsia" w:ascii="宋体" w:hAnsi="宋体" w:eastAsia="宋体" w:cs="宋体"/>
                <w:color w:val="000000"/>
                <w:kern w:val="2"/>
                <w:sz w:val="24"/>
                <w:szCs w:val="24"/>
                <w:lang w:val="en-US" w:eastAsia="zh-CN" w:bidi="ar"/>
              </w:rPr>
              <w:t>垃圾分类投递量统计，投递次数统计，投递用户数统计，投递家庭户统计，小区投递情况对比；</w:t>
            </w:r>
          </w:p>
          <w:p w14:paraId="253A95F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2、收益统计报表：回收收益统计支出统计（提现+兑换）；</w:t>
            </w:r>
          </w:p>
          <w:p w14:paraId="26E4CAD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3、用户统计报表：新增用户统计</w:t>
            </w:r>
            <w:r>
              <w:rPr>
                <w:rFonts w:hint="eastAsia" w:ascii="宋体" w:hAnsi="宋体" w:eastAsia="宋体" w:cs="宋体"/>
                <w:color w:val="000000"/>
                <w:kern w:val="2"/>
                <w:sz w:val="24"/>
                <w:szCs w:val="24"/>
                <w:lang w:val="en-US" w:eastAsia="zh-CN" w:bidi="ar"/>
              </w:rPr>
              <w:t>，活跃用户统计，累计用户统计，用户留存分析；</w:t>
            </w:r>
          </w:p>
          <w:p w14:paraId="7FCB4F2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4、设备统计报表：各设备回收量统计</w:t>
            </w:r>
            <w:r>
              <w:rPr>
                <w:rFonts w:hint="eastAsia" w:ascii="宋体" w:hAnsi="宋体" w:eastAsia="宋体" w:cs="宋体"/>
                <w:color w:val="000000"/>
                <w:kern w:val="2"/>
                <w:sz w:val="24"/>
                <w:szCs w:val="24"/>
                <w:lang w:val="en-US" w:eastAsia="zh-CN" w:bidi="ar"/>
              </w:rPr>
              <w:t>，设备故障率统计，设备运行时间统计；</w:t>
            </w:r>
          </w:p>
          <w:p w14:paraId="2D86FF3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5、碳减排统计报表：按回收物类型统计</w:t>
            </w:r>
            <w:r>
              <w:rPr>
                <w:rFonts w:hint="eastAsia" w:ascii="宋体" w:hAnsi="宋体" w:eastAsia="宋体" w:cs="宋体"/>
                <w:color w:val="000000"/>
                <w:kern w:val="2"/>
                <w:sz w:val="24"/>
                <w:szCs w:val="24"/>
                <w:lang w:val="en-US" w:eastAsia="zh-CN" w:bidi="ar"/>
              </w:rPr>
              <w:t>，碳减排贡献，碳减排趋势分析；</w:t>
            </w:r>
          </w:p>
          <w:p w14:paraId="1D1A335D">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6、报表生成：支持日报表、周报表、月报表、季度报表、年报表支持导出Excel/PDF支持自定义报表模板。</w:t>
            </w:r>
          </w:p>
        </w:tc>
      </w:tr>
      <w:tr w14:paraId="271FE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3212"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1BAFC474">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5ACF3338">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运营配置系统</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554808D4">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1、回收定价配置：按</w:t>
            </w:r>
            <w:r>
              <w:rPr>
                <w:rFonts w:hint="eastAsia" w:ascii="宋体" w:hAnsi="宋体" w:eastAsia="宋体" w:cs="宋体"/>
                <w:color w:val="000000"/>
                <w:kern w:val="2"/>
                <w:sz w:val="24"/>
                <w:szCs w:val="24"/>
                <w:lang w:val="en-US" w:eastAsia="zh-CN" w:bidi="ar"/>
              </w:rPr>
              <w:t>可回收物类型设置回收单价（元</w:t>
            </w:r>
            <w:r>
              <w:rPr>
                <w:rFonts w:hint="eastAsia" w:ascii="宋体" w:hAnsi="宋体" w:eastAsia="宋体" w:cs="@仿宋_GB2312"/>
                <w:color w:val="000000"/>
                <w:kern w:val="2"/>
                <w:sz w:val="24"/>
                <w:szCs w:val="24"/>
                <w:lang w:val="en-US" w:eastAsia="zh-CN" w:bidi="ar"/>
              </w:rPr>
              <w:t>/kg）</w:t>
            </w:r>
            <w:r>
              <w:rPr>
                <w:rFonts w:hint="eastAsia" w:ascii="宋体" w:hAnsi="宋体" w:eastAsia="宋体" w:cs="宋体"/>
                <w:color w:val="000000"/>
                <w:kern w:val="2"/>
                <w:sz w:val="24"/>
                <w:szCs w:val="24"/>
                <w:lang w:val="en-US" w:eastAsia="zh-CN" w:bidi="ar"/>
              </w:rPr>
              <w:t>、支持分设备定价、支持分区域定价；</w:t>
            </w:r>
          </w:p>
          <w:p w14:paraId="679B2453">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2、积分规则配置：积分兑换比例设置</w:t>
            </w:r>
            <w:r>
              <w:rPr>
                <w:rFonts w:hint="eastAsia" w:ascii="宋体" w:hAnsi="宋体" w:eastAsia="宋体" w:cs="宋体"/>
                <w:color w:val="000000"/>
                <w:kern w:val="2"/>
                <w:sz w:val="24"/>
                <w:szCs w:val="24"/>
                <w:lang w:val="en-US" w:eastAsia="zh-CN" w:bidi="ar"/>
              </w:rPr>
              <w:t>，积分奖励规则，设置新用户注册奖励配置；</w:t>
            </w:r>
          </w:p>
          <w:p w14:paraId="02F26E3A">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3、区域管理：小区信息管理</w:t>
            </w:r>
            <w:r>
              <w:rPr>
                <w:rFonts w:hint="eastAsia" w:ascii="宋体" w:hAnsi="宋体" w:eastAsia="宋体" w:cs="宋体"/>
                <w:color w:val="000000"/>
                <w:kern w:val="2"/>
                <w:sz w:val="24"/>
                <w:szCs w:val="24"/>
                <w:lang w:val="en-US" w:eastAsia="zh-CN" w:bidi="ar"/>
              </w:rPr>
              <w:t>、其他场景配置、支持按行政区划管理；</w:t>
            </w:r>
          </w:p>
          <w:p w14:paraId="10EF2BE1">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4、活动管理：创建积分奖励</w:t>
            </w:r>
            <w:r>
              <w:rPr>
                <w:rFonts w:hint="eastAsia" w:ascii="宋体" w:hAnsi="宋体" w:eastAsia="宋体" w:cs="宋体"/>
                <w:color w:val="000000"/>
                <w:kern w:val="2"/>
                <w:sz w:val="24"/>
                <w:szCs w:val="24"/>
                <w:lang w:val="en-US" w:eastAsia="zh-CN" w:bidi="ar"/>
              </w:rPr>
              <w:t>，活动设置活动规则、时间、参与条件活动效果统计分析；</w:t>
            </w:r>
          </w:p>
          <w:p w14:paraId="1BBE35FA">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5、消息推送：向用户推送通知</w:t>
            </w:r>
            <w:r>
              <w:rPr>
                <w:rFonts w:hint="eastAsia" w:ascii="宋体" w:hAnsi="宋体" w:eastAsia="宋体" w:cs="宋体"/>
                <w:color w:val="000000"/>
                <w:kern w:val="2"/>
                <w:sz w:val="24"/>
                <w:szCs w:val="24"/>
                <w:lang w:val="en-US" w:eastAsia="zh-CN" w:bidi="ar"/>
              </w:rPr>
              <w:t>、推送活动信息、支持定时推送；</w:t>
            </w:r>
          </w:p>
          <w:p w14:paraId="4F5387D0">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6、广告管理：设备屏幕广告位管理</w:t>
            </w:r>
            <w:r>
              <w:rPr>
                <w:rFonts w:hint="eastAsia" w:ascii="宋体" w:hAnsi="宋体" w:eastAsia="宋体" w:cs="宋体"/>
                <w:color w:val="000000"/>
                <w:kern w:val="2"/>
                <w:sz w:val="24"/>
                <w:szCs w:val="24"/>
                <w:lang w:val="en-US" w:eastAsia="zh-CN" w:bidi="ar"/>
              </w:rPr>
              <w:t>、广告内容上传、广告投放时间设置。</w:t>
            </w:r>
          </w:p>
        </w:tc>
      </w:tr>
      <w:tr w14:paraId="285F2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122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380E2C37">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9</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35762448">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用户系统管理</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34BC43B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1、用户权限管理：操作人员信息管理</w:t>
            </w:r>
            <w:r>
              <w:rPr>
                <w:rFonts w:hint="eastAsia" w:ascii="宋体" w:hAnsi="宋体" w:eastAsia="宋体" w:cs="宋体"/>
                <w:color w:val="000000"/>
                <w:kern w:val="2"/>
                <w:sz w:val="24"/>
                <w:szCs w:val="24"/>
                <w:lang w:val="en-US" w:eastAsia="zh-CN" w:bidi="ar"/>
              </w:rPr>
              <w:t>，用户组管理权限管理（</w:t>
            </w:r>
            <w:r>
              <w:rPr>
                <w:rFonts w:hint="eastAsia" w:ascii="宋体" w:hAnsi="宋体" w:eastAsia="宋体" w:cs="@仿宋_GB2312"/>
                <w:color w:val="000000"/>
                <w:kern w:val="2"/>
                <w:sz w:val="24"/>
                <w:szCs w:val="24"/>
                <w:lang w:val="en-US" w:eastAsia="zh-CN" w:bidi="ar"/>
              </w:rPr>
              <w:t>RBAC角色权限模型）</w:t>
            </w:r>
            <w:r>
              <w:rPr>
                <w:rFonts w:hint="eastAsia" w:ascii="宋体" w:hAnsi="宋体" w:eastAsia="宋体" w:cs="宋体"/>
                <w:color w:val="000000"/>
                <w:kern w:val="2"/>
                <w:sz w:val="24"/>
                <w:szCs w:val="24"/>
                <w:lang w:val="en-US" w:eastAsia="zh-CN" w:bidi="ar"/>
              </w:rPr>
              <w:t>，部门管理角色管理；</w:t>
            </w:r>
          </w:p>
          <w:p w14:paraId="07857BFC">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2、操作日志：关键操作日志记录（不可篡改）</w:t>
            </w:r>
            <w:r>
              <w:rPr>
                <w:rFonts w:hint="eastAsia" w:ascii="宋体" w:hAnsi="宋体" w:eastAsia="宋体" w:cs="宋体"/>
                <w:color w:val="000000"/>
                <w:kern w:val="2"/>
                <w:sz w:val="24"/>
                <w:szCs w:val="24"/>
                <w:lang w:val="en-US" w:eastAsia="zh-CN" w:bidi="ar"/>
              </w:rPr>
              <w:t>，日志查询与导出异常操作告警；</w:t>
            </w:r>
          </w:p>
          <w:p w14:paraId="65255008">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3、系统参数设置：基本参数配置</w:t>
            </w:r>
            <w:r>
              <w:rPr>
                <w:rFonts w:hint="eastAsia" w:ascii="宋体" w:hAnsi="宋体" w:eastAsia="宋体" w:cs="宋体"/>
                <w:color w:val="000000"/>
                <w:kern w:val="2"/>
                <w:sz w:val="24"/>
                <w:szCs w:val="24"/>
                <w:lang w:val="en-US" w:eastAsia="zh-CN" w:bidi="ar"/>
              </w:rPr>
              <w:t>，通知参数配置，接口参数配置；</w:t>
            </w:r>
          </w:p>
          <w:p w14:paraId="2E0A2E17">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4、多级权限分配：城管局/政府端口</w:t>
            </w:r>
            <w:r>
              <w:rPr>
                <w:rFonts w:hint="eastAsia" w:ascii="宋体" w:hAnsi="宋体" w:eastAsia="宋体" w:cs="宋体"/>
                <w:color w:val="000000"/>
                <w:kern w:val="2"/>
                <w:sz w:val="24"/>
                <w:szCs w:val="24"/>
                <w:lang w:val="en-US" w:eastAsia="zh-CN" w:bidi="ar"/>
              </w:rPr>
              <w:t>，社区</w:t>
            </w:r>
            <w:r>
              <w:rPr>
                <w:rFonts w:hint="eastAsia" w:ascii="宋体" w:hAnsi="宋体" w:eastAsia="宋体" w:cs="@仿宋_GB2312"/>
                <w:color w:val="000000"/>
                <w:kern w:val="2"/>
                <w:sz w:val="24"/>
                <w:szCs w:val="24"/>
                <w:lang w:val="en-US" w:eastAsia="zh-CN" w:bidi="ar"/>
              </w:rPr>
              <w:t>/居委会端口</w:t>
            </w:r>
            <w:r>
              <w:rPr>
                <w:rFonts w:hint="eastAsia" w:ascii="宋体" w:hAnsi="宋体" w:eastAsia="宋体" w:cs="宋体"/>
                <w:color w:val="000000"/>
                <w:kern w:val="2"/>
                <w:sz w:val="24"/>
                <w:szCs w:val="24"/>
                <w:lang w:val="en-US" w:eastAsia="zh-CN" w:bidi="ar"/>
              </w:rPr>
              <w:t>，物业公司端口，运营公司端口，按角色分配相应权限；</w:t>
            </w:r>
          </w:p>
          <w:p w14:paraId="34DEB67E">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5、数据备份与恢复：自动备份</w:t>
            </w:r>
            <w:r>
              <w:rPr>
                <w:rFonts w:hint="eastAsia" w:ascii="宋体" w:hAnsi="宋体" w:eastAsia="宋体" w:cs="宋体"/>
                <w:color w:val="000000"/>
                <w:kern w:val="2"/>
                <w:sz w:val="24"/>
                <w:szCs w:val="24"/>
                <w:lang w:val="en-US" w:eastAsia="zh-CN" w:bidi="ar"/>
              </w:rPr>
              <w:t>、配置数据、恢复功能备份、记录查询。</w:t>
            </w:r>
          </w:p>
        </w:tc>
      </w:tr>
      <w:tr w14:paraId="43954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3688"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00B9959F">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1AFAA53D">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微信小程序端</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8B08CF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1、扫码投递：（</w:t>
            </w:r>
            <w:r>
              <w:rPr>
                <w:rFonts w:hint="eastAsia" w:ascii="宋体" w:hAnsi="宋体" w:eastAsia="宋体" w:cs="宋体"/>
                <w:color w:val="000000"/>
                <w:kern w:val="2"/>
                <w:sz w:val="24"/>
                <w:szCs w:val="24"/>
                <w:lang w:val="en-US" w:eastAsia="zh-CN" w:bidi="ar"/>
              </w:rPr>
              <w:t>扫码/</w:t>
            </w:r>
            <w:r>
              <w:rPr>
                <w:rFonts w:hint="eastAsia" w:ascii="宋体" w:hAnsi="宋体" w:eastAsia="宋体" w:cs="宋体"/>
                <w:kern w:val="2"/>
                <w:sz w:val="24"/>
                <w:szCs w:val="24"/>
                <w:lang w:val="en-US" w:eastAsia="zh-CN" w:bidi="ar"/>
              </w:rPr>
              <w:t>二维码识别</w:t>
            </w:r>
            <w:r>
              <w:rPr>
                <w:rFonts w:hint="eastAsia" w:ascii="宋体" w:hAnsi="宋体" w:eastAsia="宋体" w:cs="宋体"/>
                <w:color w:val="000000"/>
                <w:kern w:val="2"/>
                <w:sz w:val="24"/>
                <w:szCs w:val="24"/>
                <w:lang w:val="en-US" w:eastAsia="zh-CN" w:bidi="ar"/>
              </w:rPr>
              <w:t>/刷卡/触摸屏操作/NFC/人脸识别）开门身份验证全流程引导：开门</w:t>
            </w:r>
            <w:r>
              <w:rPr>
                <w:rFonts w:hint="eastAsia" w:ascii="宋体" w:hAnsi="宋体" w:eastAsia="宋体" w:cs="@仿宋_GB2312"/>
                <w:color w:val="000000"/>
                <w:kern w:val="2"/>
                <w:sz w:val="24"/>
                <w:szCs w:val="24"/>
                <w:lang w:val="en-US" w:eastAsia="zh-CN" w:bidi="ar"/>
              </w:rPr>
              <w:t xml:space="preserve"> </w:t>
            </w:r>
            <w:r>
              <w:rPr>
                <w:rFonts w:hint="eastAsia" w:ascii="宋体" w:hAnsi="宋体" w:eastAsia="宋体" w:cs="宋体"/>
                <w:color w:val="000000"/>
                <w:kern w:val="2"/>
                <w:sz w:val="24"/>
                <w:szCs w:val="24"/>
                <w:lang w:val="en-US" w:eastAsia="zh-CN" w:bidi="ar"/>
              </w:rPr>
              <w:t>→ 投递 → 称重 → 结算；</w:t>
            </w:r>
          </w:p>
          <w:p w14:paraId="6C4498FC">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2、我的账户：积分余额查询</w:t>
            </w:r>
            <w:r>
              <w:rPr>
                <w:rFonts w:hint="eastAsia" w:ascii="宋体" w:hAnsi="宋体" w:eastAsia="宋体" w:cs="宋体"/>
                <w:color w:val="000000"/>
                <w:kern w:val="2"/>
                <w:sz w:val="24"/>
                <w:szCs w:val="24"/>
                <w:lang w:val="en-US" w:eastAsia="zh-CN" w:bidi="ar"/>
              </w:rPr>
              <w:t>，现金余额查询，投递记录查询，提现明细查询；</w:t>
            </w:r>
          </w:p>
          <w:p w14:paraId="3D27A01F">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w:t>
            </w:r>
            <w:r>
              <w:rPr>
                <w:rFonts w:hint="eastAsia" w:ascii="宋体" w:hAnsi="宋体" w:eastAsia="宋体" w:cs="宋体"/>
                <w:color w:val="000000"/>
                <w:kern w:val="2"/>
                <w:sz w:val="24"/>
                <w:szCs w:val="24"/>
                <w:lang w:val="en-US" w:eastAsia="zh-CN" w:bidi="ar"/>
              </w:rPr>
              <w:t>资金提现：资金提现至微信钱包，提现记录查询，提现进度查询；</w:t>
            </w:r>
          </w:p>
          <w:p w14:paraId="400D3861">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宋体"/>
                <w:color w:val="000000"/>
                <w:kern w:val="2"/>
                <w:sz w:val="24"/>
                <w:szCs w:val="24"/>
                <w:lang w:val="en-US" w:eastAsia="zh-CN" w:bidi="ar"/>
              </w:rPr>
              <w:t>4</w:t>
            </w:r>
            <w:r>
              <w:rPr>
                <w:rFonts w:hint="eastAsia" w:ascii="宋体" w:hAnsi="宋体" w:eastAsia="宋体" w:cs="@仿宋_GB2312"/>
                <w:color w:val="000000"/>
                <w:kern w:val="2"/>
                <w:sz w:val="24"/>
                <w:szCs w:val="24"/>
                <w:lang w:val="en-US" w:eastAsia="zh-CN" w:bidi="ar"/>
              </w:rPr>
              <w:t>、附近设备：地图展示设备位置</w:t>
            </w:r>
            <w:r>
              <w:rPr>
                <w:rFonts w:hint="eastAsia" w:ascii="宋体" w:hAnsi="宋体" w:eastAsia="宋体" w:cs="宋体"/>
                <w:color w:val="000000"/>
                <w:kern w:val="2"/>
                <w:sz w:val="24"/>
                <w:szCs w:val="24"/>
                <w:lang w:val="en-US" w:eastAsia="zh-CN" w:bidi="ar"/>
              </w:rPr>
              <w:t>、设备状态、显示距离导航；</w:t>
            </w:r>
          </w:p>
          <w:p w14:paraId="5977DC6A">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宋体"/>
                <w:color w:val="000000"/>
                <w:kern w:val="2"/>
                <w:sz w:val="24"/>
                <w:szCs w:val="24"/>
                <w:lang w:val="en-US" w:eastAsia="zh-CN" w:bidi="ar"/>
              </w:rPr>
              <w:t>5</w:t>
            </w:r>
            <w:r>
              <w:rPr>
                <w:rFonts w:hint="eastAsia" w:ascii="宋体" w:hAnsi="宋体" w:eastAsia="宋体" w:cs="@仿宋_GB2312"/>
                <w:color w:val="000000"/>
                <w:kern w:val="2"/>
                <w:sz w:val="24"/>
                <w:szCs w:val="24"/>
                <w:lang w:val="en-US" w:eastAsia="zh-CN" w:bidi="ar"/>
              </w:rPr>
              <w:t>、家庭户创建</w:t>
            </w:r>
            <w:r>
              <w:rPr>
                <w:rFonts w:hint="eastAsia" w:ascii="宋体" w:hAnsi="宋体" w:eastAsia="宋体" w:cs="宋体"/>
                <w:color w:val="000000"/>
                <w:kern w:val="2"/>
                <w:sz w:val="24"/>
                <w:szCs w:val="24"/>
                <w:lang w:val="en-US" w:eastAsia="zh-CN" w:bidi="ar"/>
              </w:rPr>
              <w:t>，加入家庭户，家庭成员管理，家庭激励共享；</w:t>
            </w:r>
          </w:p>
          <w:p w14:paraId="7439583E">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宋体"/>
                <w:color w:val="000000"/>
                <w:kern w:val="2"/>
                <w:sz w:val="24"/>
                <w:szCs w:val="24"/>
                <w:lang w:val="en-US" w:eastAsia="zh-CN" w:bidi="ar"/>
              </w:rPr>
              <w:t>6</w:t>
            </w:r>
            <w:r>
              <w:rPr>
                <w:rFonts w:hint="eastAsia" w:ascii="宋体" w:hAnsi="宋体" w:eastAsia="宋体" w:cs="@仿宋_GB2312"/>
                <w:color w:val="000000"/>
                <w:kern w:val="2"/>
                <w:sz w:val="24"/>
                <w:szCs w:val="24"/>
                <w:lang w:val="en-US" w:eastAsia="zh-CN" w:bidi="ar"/>
              </w:rPr>
              <w:t>、大件预约：预约上门回收</w:t>
            </w:r>
            <w:r>
              <w:rPr>
                <w:rFonts w:hint="eastAsia" w:ascii="宋体" w:hAnsi="宋体" w:eastAsia="宋体" w:cs="宋体"/>
                <w:color w:val="000000"/>
                <w:kern w:val="2"/>
                <w:sz w:val="24"/>
                <w:szCs w:val="24"/>
                <w:lang w:val="en-US" w:eastAsia="zh-CN" w:bidi="ar"/>
              </w:rPr>
              <w:t>，拍照上传重量，填报预约记录查询；</w:t>
            </w:r>
          </w:p>
          <w:p w14:paraId="237B1153">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宋体"/>
                <w:color w:val="000000"/>
                <w:kern w:val="2"/>
                <w:sz w:val="24"/>
                <w:szCs w:val="24"/>
                <w:lang w:val="en-US" w:eastAsia="zh-CN" w:bidi="ar"/>
              </w:rPr>
              <w:t>7</w:t>
            </w:r>
            <w:r>
              <w:rPr>
                <w:rFonts w:hint="eastAsia" w:ascii="宋体" w:hAnsi="宋体" w:eastAsia="宋体" w:cs="@仿宋_GB2312"/>
                <w:color w:val="000000"/>
                <w:kern w:val="2"/>
                <w:sz w:val="24"/>
                <w:szCs w:val="24"/>
                <w:lang w:val="en-US" w:eastAsia="zh-CN" w:bidi="ar"/>
              </w:rPr>
              <w:t>、设备报修：拍照上报设备故障</w:t>
            </w:r>
            <w:r>
              <w:rPr>
                <w:rFonts w:hint="eastAsia" w:ascii="宋体" w:hAnsi="宋体" w:eastAsia="宋体" w:cs="宋体"/>
                <w:color w:val="000000"/>
                <w:kern w:val="2"/>
                <w:sz w:val="24"/>
                <w:szCs w:val="24"/>
                <w:lang w:val="en-US" w:eastAsia="zh-CN" w:bidi="ar"/>
              </w:rPr>
              <w:t>，报修进度查询；</w:t>
            </w:r>
          </w:p>
          <w:p w14:paraId="31D2DB47">
            <w:pPr>
              <w:keepNext w:val="0"/>
              <w:keepLines w:val="0"/>
              <w:widowControl w:val="0"/>
              <w:suppressLineNumbers w:val="0"/>
              <w:snapToGrid w:val="0"/>
              <w:spacing w:before="40" w:beforeAutospacing="0" w:after="40" w:afterAutospacing="0"/>
              <w:ind w:left="0" w:right="0"/>
              <w:jc w:val="left"/>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8</w:t>
            </w:r>
            <w:r>
              <w:rPr>
                <w:rFonts w:hint="eastAsia" w:ascii="宋体" w:hAnsi="宋体" w:eastAsia="宋体" w:cs="@仿宋_GB2312"/>
                <w:color w:val="000000"/>
                <w:kern w:val="2"/>
                <w:sz w:val="24"/>
                <w:szCs w:val="24"/>
                <w:lang w:val="en-US" w:eastAsia="zh-CN" w:bidi="ar"/>
              </w:rPr>
              <w:t>、个人中心：设置</w:t>
            </w:r>
            <w:r>
              <w:rPr>
                <w:rFonts w:hint="eastAsia" w:ascii="宋体" w:hAnsi="宋体" w:eastAsia="宋体" w:cs="宋体"/>
                <w:color w:val="000000"/>
                <w:kern w:val="2"/>
                <w:sz w:val="24"/>
                <w:szCs w:val="24"/>
                <w:lang w:val="en-US" w:eastAsia="zh-CN" w:bidi="ar"/>
              </w:rPr>
              <w:t>家庭户信息、邀请家庭成员帮助与反馈。</w:t>
            </w:r>
          </w:p>
        </w:tc>
      </w:tr>
      <w:tr w14:paraId="23818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9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3EA2E866">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11</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469768D1">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设备端</w:t>
            </w:r>
            <w:r>
              <w:rPr>
                <w:rFonts w:hint="eastAsia" w:ascii="宋体" w:hAnsi="宋体" w:eastAsia="宋体" w:cs="@仿宋_GB2312"/>
                <w:color w:val="000000"/>
                <w:kern w:val="2"/>
                <w:sz w:val="24"/>
                <w:szCs w:val="24"/>
                <w:lang w:val="en-US" w:eastAsia="zh-CN" w:bidi="ar"/>
              </w:rPr>
              <w:t>APP</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1FA83A06">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1、智能投递界面：10.1寸适配投递类型选择</w:t>
            </w:r>
            <w:r>
              <w:rPr>
                <w:rFonts w:hint="eastAsia" w:ascii="宋体" w:hAnsi="宋体" w:eastAsia="宋体" w:cs="宋体"/>
                <w:color w:val="000000"/>
                <w:kern w:val="2"/>
                <w:sz w:val="24"/>
                <w:szCs w:val="24"/>
                <w:lang w:val="en-US" w:eastAsia="zh-CN" w:bidi="ar"/>
              </w:rPr>
              <w:t>，实时称重显示、</w:t>
            </w:r>
            <w:r>
              <w:rPr>
                <w:rFonts w:hint="eastAsia" w:ascii="宋体" w:hAnsi="宋体" w:eastAsia="宋体" w:cs="@仿宋_GB2312"/>
                <w:color w:val="000000"/>
                <w:kern w:val="2"/>
                <w:sz w:val="24"/>
                <w:szCs w:val="24"/>
                <w:lang w:val="en-US" w:eastAsia="zh-CN" w:bidi="ar"/>
              </w:rPr>
              <w:t>AI质检拍照取证</w:t>
            </w:r>
            <w:r>
              <w:rPr>
                <w:rFonts w:hint="eastAsia" w:ascii="宋体" w:hAnsi="宋体" w:eastAsia="宋体" w:cs="宋体"/>
                <w:color w:val="000000"/>
                <w:kern w:val="2"/>
                <w:sz w:val="24"/>
                <w:szCs w:val="24"/>
                <w:lang w:val="en-US" w:eastAsia="zh-CN" w:bidi="ar"/>
              </w:rPr>
              <w:t>、投递结果语音播报；</w:t>
            </w:r>
          </w:p>
          <w:p w14:paraId="0B560AB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2、用户身份识别：</w:t>
            </w:r>
            <w:r>
              <w:rPr>
                <w:rFonts w:hint="eastAsia" w:ascii="宋体" w:hAnsi="宋体" w:eastAsia="宋体" w:cs="宋体"/>
                <w:color w:val="000000"/>
                <w:kern w:val="2"/>
                <w:sz w:val="24"/>
                <w:szCs w:val="24"/>
                <w:lang w:val="en-US" w:eastAsia="zh-CN" w:bidi="ar"/>
              </w:rPr>
              <w:t>微信扫码、反向扫码、刷卡、输入手机号、NFC、人脸识别；</w:t>
            </w:r>
          </w:p>
          <w:p w14:paraId="71B0FEFF">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3、称重校准：称重基准值设置</w:t>
            </w:r>
            <w:r>
              <w:rPr>
                <w:rFonts w:hint="eastAsia" w:ascii="宋体" w:hAnsi="宋体" w:eastAsia="宋体" w:cs="宋体"/>
                <w:color w:val="000000"/>
                <w:kern w:val="2"/>
                <w:sz w:val="24"/>
                <w:szCs w:val="24"/>
                <w:lang w:val="en-US" w:eastAsia="zh-CN" w:bidi="ar"/>
              </w:rPr>
              <w:t>，校准参数管理，称重精度调整；</w:t>
            </w:r>
          </w:p>
          <w:p w14:paraId="5C4178AB">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4、设备状态监控：箱体状态显示</w:t>
            </w:r>
            <w:r>
              <w:rPr>
                <w:rFonts w:hint="eastAsia" w:ascii="宋体" w:hAnsi="宋体" w:eastAsia="宋体" w:cs="宋体"/>
                <w:color w:val="000000"/>
                <w:kern w:val="2"/>
                <w:sz w:val="24"/>
                <w:szCs w:val="24"/>
                <w:lang w:val="en-US" w:eastAsia="zh-CN" w:bidi="ar"/>
              </w:rPr>
              <w:t>，环境参数显示，网络状态显示，心跳状态显示；</w:t>
            </w:r>
          </w:p>
          <w:p w14:paraId="3FF2F613">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5、远程控制接收：接收服务器</w:t>
            </w:r>
            <w:r>
              <w:rPr>
                <w:rFonts w:hint="eastAsia" w:ascii="宋体" w:hAnsi="宋体" w:eastAsia="宋体" w:cs="宋体"/>
                <w:color w:val="000000"/>
                <w:kern w:val="2"/>
                <w:sz w:val="24"/>
                <w:szCs w:val="24"/>
                <w:lang w:val="en-US" w:eastAsia="zh-CN" w:bidi="ar"/>
              </w:rPr>
              <w:t>，</w:t>
            </w:r>
            <w:r>
              <w:rPr>
                <w:rFonts w:hint="eastAsia" w:ascii="宋体" w:hAnsi="宋体" w:eastAsia="宋体" w:cs="@仿宋_GB2312"/>
                <w:color w:val="000000"/>
                <w:kern w:val="2"/>
                <w:sz w:val="24"/>
                <w:szCs w:val="24"/>
                <w:lang w:val="en-US" w:eastAsia="zh-CN" w:bidi="ar"/>
              </w:rPr>
              <w:t>MQTT指令执行开门/关门指令执行</w:t>
            </w:r>
            <w:r>
              <w:rPr>
                <w:rFonts w:hint="eastAsia" w:ascii="宋体" w:hAnsi="宋体" w:eastAsia="宋体" w:cs="宋体"/>
                <w:color w:val="000000"/>
                <w:kern w:val="2"/>
                <w:sz w:val="24"/>
                <w:szCs w:val="24"/>
                <w:lang w:val="en-US" w:eastAsia="zh-CN" w:bidi="ar"/>
              </w:rPr>
              <w:t>，校准</w:t>
            </w:r>
            <w:r>
              <w:rPr>
                <w:rFonts w:hint="eastAsia" w:ascii="宋体" w:hAnsi="宋体" w:eastAsia="宋体" w:cs="@仿宋_GB2312"/>
                <w:color w:val="000000"/>
                <w:kern w:val="2"/>
                <w:sz w:val="24"/>
                <w:szCs w:val="24"/>
                <w:lang w:val="en-US" w:eastAsia="zh-CN" w:bidi="ar"/>
              </w:rPr>
              <w:t>/重启指令；</w:t>
            </w:r>
          </w:p>
          <w:p w14:paraId="0653C1E2">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宋体"/>
                <w:color w:val="000000"/>
                <w:kern w:val="2"/>
                <w:sz w:val="24"/>
                <w:szCs w:val="24"/>
                <w:lang w:val="en-US" w:eastAsia="zh-CN" w:bidi="ar"/>
              </w:rPr>
              <w:t>6、</w:t>
            </w:r>
            <w:r>
              <w:rPr>
                <w:rFonts w:hint="eastAsia" w:ascii="宋体" w:hAnsi="宋体" w:eastAsia="宋体" w:cs="@仿宋_GB2312"/>
                <w:color w:val="000000"/>
                <w:kern w:val="2"/>
                <w:sz w:val="24"/>
                <w:szCs w:val="24"/>
                <w:lang w:val="en-US" w:eastAsia="zh-CN" w:bidi="ar"/>
              </w:rPr>
              <w:t>AI质检功能</w:t>
            </w:r>
            <w:r>
              <w:rPr>
                <w:rFonts w:hint="eastAsia" w:ascii="宋体" w:hAnsi="宋体" w:eastAsia="宋体" w:cs="宋体"/>
                <w:color w:val="000000"/>
                <w:kern w:val="2"/>
                <w:sz w:val="24"/>
                <w:szCs w:val="24"/>
                <w:lang w:val="en-US" w:eastAsia="zh-CN" w:bidi="ar"/>
              </w:rPr>
              <w:t>：投递物拍照，</w:t>
            </w:r>
            <w:r>
              <w:rPr>
                <w:rFonts w:hint="eastAsia" w:ascii="宋体" w:hAnsi="宋体" w:eastAsia="宋体" w:cs="@仿宋_GB2312"/>
                <w:color w:val="000000"/>
                <w:kern w:val="2"/>
                <w:sz w:val="24"/>
                <w:szCs w:val="24"/>
                <w:lang w:val="en-US" w:eastAsia="zh-CN" w:bidi="ar"/>
              </w:rPr>
              <w:t>AI模型实时识别</w:t>
            </w:r>
            <w:r>
              <w:rPr>
                <w:rFonts w:hint="eastAsia" w:ascii="宋体" w:hAnsi="宋体" w:eastAsia="宋体" w:cs="宋体"/>
                <w:color w:val="000000"/>
                <w:kern w:val="2"/>
                <w:sz w:val="24"/>
                <w:szCs w:val="24"/>
                <w:lang w:val="en-US" w:eastAsia="zh-CN" w:bidi="ar"/>
              </w:rPr>
              <w:t>，异常投递告警，质检结果上报；</w:t>
            </w:r>
          </w:p>
          <w:p w14:paraId="4AE2B2E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7、日志与诊断：操作日志记录</w:t>
            </w:r>
            <w:r>
              <w:rPr>
                <w:rFonts w:hint="eastAsia" w:ascii="宋体" w:hAnsi="宋体" w:eastAsia="宋体" w:cs="宋体"/>
                <w:color w:val="000000"/>
                <w:kern w:val="2"/>
                <w:sz w:val="24"/>
                <w:szCs w:val="24"/>
                <w:lang w:val="en-US" w:eastAsia="zh-CN" w:bidi="ar"/>
              </w:rPr>
              <w:t>，故障诊断功能远程日志上报；</w:t>
            </w:r>
          </w:p>
          <w:p w14:paraId="23F65038">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8、定时任务：每日定时重启</w:t>
            </w:r>
            <w:r>
              <w:rPr>
                <w:rFonts w:hint="eastAsia" w:ascii="宋体" w:hAnsi="宋体" w:eastAsia="宋体" w:cs="宋体"/>
                <w:color w:val="000000"/>
                <w:kern w:val="2"/>
                <w:sz w:val="24"/>
                <w:szCs w:val="24"/>
                <w:lang w:val="en-US" w:eastAsia="zh-CN" w:bidi="ar"/>
              </w:rPr>
              <w:t>，心跳上报，数据同步。</w:t>
            </w:r>
          </w:p>
        </w:tc>
      </w:tr>
      <w:tr w14:paraId="4C16D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 w:type="dxa"/>
            <w:bottom w:w="0" w:type="dxa"/>
            <w:right w:w="10" w:type="dxa"/>
          </w:tblCellMar>
        </w:tblPrEx>
        <w:trPr>
          <w:trHeight w:val="2871"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7343D05B">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lang w:val="en-US" w:eastAsia="zh-CN"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60" w:type="dxa"/>
              <w:left w:w="80" w:type="dxa"/>
              <w:bottom w:w="60" w:type="dxa"/>
              <w:right w:w="80" w:type="dxa"/>
            </w:tcMar>
            <w:vAlign w:val="center"/>
          </w:tcPr>
          <w:p w14:paraId="3309329F">
            <w:pPr>
              <w:keepNext w:val="0"/>
              <w:keepLines w:val="0"/>
              <w:widowControl w:val="0"/>
              <w:suppressLineNumbers w:val="0"/>
              <w:snapToGrid w:val="0"/>
              <w:spacing w:before="0" w:beforeAutospacing="0" w:after="0" w:afterAutospacing="0"/>
              <w:ind w:left="0" w:right="0"/>
              <w:jc w:val="center"/>
              <w:rPr>
                <w:rFonts w:hint="eastAsia" w:ascii="宋体" w:hAnsi="宋体" w:eastAsia="宋体" w:cs="@仿宋_GB2312"/>
                <w:color w:val="000000"/>
                <w:kern w:val="2"/>
                <w:sz w:val="24"/>
                <w:szCs w:val="24"/>
              </w:rPr>
            </w:pPr>
            <w:r>
              <w:rPr>
                <w:rFonts w:hint="eastAsia" w:ascii="宋体" w:hAnsi="宋体" w:eastAsia="宋体" w:cs="宋体"/>
                <w:color w:val="000000"/>
                <w:kern w:val="2"/>
                <w:sz w:val="24"/>
                <w:szCs w:val="24"/>
                <w:lang w:val="en-US" w:eastAsia="zh-CN" w:bidi="ar"/>
              </w:rPr>
              <w:t>运营监管</w:t>
            </w:r>
            <w:r>
              <w:rPr>
                <w:rFonts w:hint="eastAsia" w:ascii="宋体" w:hAnsi="宋体" w:eastAsia="宋体" w:cs="@仿宋_GB2312"/>
                <w:color w:val="000000"/>
                <w:kern w:val="2"/>
                <w:sz w:val="24"/>
                <w:szCs w:val="24"/>
                <w:lang w:val="en-US" w:eastAsia="zh-CN" w:bidi="ar"/>
              </w:rPr>
              <w:t>APP</w:t>
            </w:r>
          </w:p>
        </w:tc>
        <w:tc>
          <w:tcPr>
            <w:tcW w:w="7591" w:type="dxa"/>
            <w:tcBorders>
              <w:top w:val="single" w:color="000000" w:sz="4" w:space="0"/>
              <w:left w:val="single" w:color="000000" w:sz="4" w:space="0"/>
              <w:bottom w:val="single" w:color="000000" w:sz="4" w:space="0"/>
              <w:right w:val="single" w:color="000000" w:sz="4" w:space="0"/>
            </w:tcBorders>
            <w:shd w:val="clear" w:color="auto" w:fill="auto"/>
            <w:tcMar>
              <w:top w:w="60" w:type="dxa"/>
              <w:left w:w="120" w:type="dxa"/>
              <w:bottom w:w="60" w:type="dxa"/>
              <w:right w:w="120" w:type="dxa"/>
            </w:tcMar>
            <w:vAlign w:val="center"/>
          </w:tcPr>
          <w:p w14:paraId="71C2C906">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1、设备监管：设备地图分布查看</w:t>
            </w:r>
            <w:r>
              <w:rPr>
                <w:rFonts w:hint="eastAsia" w:ascii="宋体" w:hAnsi="宋体" w:eastAsia="宋体" w:cs="宋体"/>
                <w:color w:val="000000"/>
                <w:kern w:val="2"/>
                <w:sz w:val="24"/>
                <w:szCs w:val="24"/>
                <w:lang w:val="en-US" w:eastAsia="zh-CN" w:bidi="ar"/>
              </w:rPr>
              <w:t>，设备实时状态监控，设备定位与导航设备历史轨迹；</w:t>
            </w:r>
          </w:p>
          <w:p w14:paraId="1AB43D83">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2、视频监控：设备摄像头实时画面</w:t>
            </w:r>
            <w:r>
              <w:rPr>
                <w:rFonts w:hint="eastAsia" w:ascii="宋体" w:hAnsi="宋体" w:eastAsia="宋体" w:cs="宋体"/>
                <w:color w:val="000000"/>
                <w:kern w:val="2"/>
                <w:sz w:val="24"/>
                <w:szCs w:val="24"/>
                <w:lang w:val="en-US" w:eastAsia="zh-CN" w:bidi="ar"/>
              </w:rPr>
              <w:t>、历史视频回放、截图功能；</w:t>
            </w:r>
          </w:p>
          <w:p w14:paraId="1544D99A">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3、预警处理：预警列表查看</w:t>
            </w:r>
            <w:r>
              <w:rPr>
                <w:rFonts w:hint="eastAsia" w:ascii="宋体" w:hAnsi="宋体" w:eastAsia="宋体" w:cs="宋体"/>
                <w:color w:val="000000"/>
                <w:kern w:val="2"/>
                <w:sz w:val="24"/>
                <w:szCs w:val="24"/>
                <w:lang w:val="en-US" w:eastAsia="zh-CN" w:bidi="ar"/>
              </w:rPr>
              <w:t>，预警详情查看，预警派发与处置预警统计报表；</w:t>
            </w:r>
          </w:p>
          <w:p w14:paraId="45EDEE00">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4、清运调度：清运任务分配</w:t>
            </w:r>
            <w:r>
              <w:rPr>
                <w:rFonts w:hint="eastAsia" w:ascii="宋体" w:hAnsi="宋体" w:eastAsia="宋体" w:cs="宋体"/>
                <w:color w:val="000000"/>
                <w:kern w:val="2"/>
                <w:sz w:val="24"/>
                <w:szCs w:val="24"/>
                <w:lang w:val="en-US" w:eastAsia="zh-CN" w:bidi="ar"/>
              </w:rPr>
              <w:t>，清运员当前位置，清运进度跟踪，清运完成确认；</w:t>
            </w:r>
          </w:p>
          <w:p w14:paraId="746F2EC3">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5、考核管理：考核标准配置</w:t>
            </w:r>
            <w:r>
              <w:rPr>
                <w:rFonts w:hint="eastAsia" w:ascii="宋体" w:hAnsi="宋体" w:eastAsia="宋体" w:cs="宋体"/>
                <w:color w:val="000000"/>
                <w:kern w:val="2"/>
                <w:sz w:val="24"/>
                <w:szCs w:val="24"/>
                <w:lang w:val="en-US" w:eastAsia="zh-CN" w:bidi="ar"/>
              </w:rPr>
              <w:t>，考核任务派发，考核结果录入，考核报表生成；</w:t>
            </w:r>
          </w:p>
          <w:p w14:paraId="6F33E415">
            <w:pPr>
              <w:keepNext w:val="0"/>
              <w:keepLines w:val="0"/>
              <w:widowControl w:val="0"/>
              <w:suppressLineNumbers w:val="0"/>
              <w:snapToGrid w:val="0"/>
              <w:spacing w:before="40" w:beforeAutospacing="0" w:after="40" w:afterAutospacing="0"/>
              <w:ind w:left="0" w:right="0"/>
              <w:jc w:val="left"/>
              <w:rPr>
                <w:rFonts w:hint="default" w:ascii="宋体" w:hAnsi="宋体" w:eastAsia="宋体" w:cs="@仿宋_GB2312"/>
                <w:color w:val="000000"/>
                <w:kern w:val="2"/>
                <w:sz w:val="24"/>
                <w:szCs w:val="24"/>
                <w:lang w:val="en-US"/>
              </w:rPr>
            </w:pPr>
            <w:r>
              <w:rPr>
                <w:rFonts w:hint="eastAsia" w:ascii="宋体" w:hAnsi="宋体" w:eastAsia="宋体" w:cs="@仿宋_GB2312"/>
                <w:color w:val="000000"/>
                <w:kern w:val="2"/>
                <w:sz w:val="24"/>
                <w:szCs w:val="24"/>
                <w:lang w:val="en-US" w:eastAsia="zh-CN" w:bidi="ar"/>
              </w:rPr>
              <w:t>6、统计分析：投递数据统计</w:t>
            </w:r>
            <w:r>
              <w:rPr>
                <w:rFonts w:hint="eastAsia" w:ascii="宋体" w:hAnsi="宋体" w:eastAsia="宋体" w:cs="宋体"/>
                <w:color w:val="000000"/>
                <w:kern w:val="2"/>
                <w:sz w:val="24"/>
                <w:szCs w:val="24"/>
                <w:lang w:val="en-US" w:eastAsia="zh-CN" w:bidi="ar"/>
              </w:rPr>
              <w:t>，设备运行统计，人员工作统计，收益分析报表。</w:t>
            </w:r>
          </w:p>
        </w:tc>
      </w:tr>
    </w:tbl>
    <w:p w14:paraId="7B43998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2.5可回收物运营</w:t>
      </w:r>
    </w:p>
    <w:p w14:paraId="552472C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2.5.1中标人须为本项目建立再生资源回收体系及运营队伍，提供不少于3年的再生资源回收运营服务。</w:t>
      </w:r>
    </w:p>
    <w:p w14:paraId="3372C9A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2.5.2运营期间，中标人所收可回收物按市场价返现给居民，可回收物销售收益归中标人所有，用于抵扣回收运营成本，采购人不额外支付回收环节费用，中标人自负盈亏。</w:t>
      </w:r>
    </w:p>
    <w:p w14:paraId="688D6E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2.5.3中标人须承诺在六安市金安区新建或租赁可回收物暂存分拣中心场地，面积不得小于3000平方米，需配备分拣流水线、地磅、打包机、夹包机等基础设备，及运营管理平台，数据联网，用于可回收物的集中分拣和暂存。以及配备可回收物驳运车，对小区内可回收垃圾实行分类收集和运输。</w:t>
      </w:r>
    </w:p>
    <w:p w14:paraId="2D4775C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480" w:firstLineChars="200"/>
        <w:jc w:val="left"/>
        <w:textAlignment w:val="auto"/>
        <w:rPr>
          <w:rFonts w:hint="eastAsia"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2.5.4中标人须于合同签订后15个日历天内向采购人提供详细的运营实施方案，包括但不限于运营团队组建、收运车辆配置、分拣中心建设或租赁计划、回收流程、人员管理、安全保障等内容。</w:t>
      </w:r>
    </w:p>
    <w:p w14:paraId="08D86A2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bCs/>
          <w:color w:val="auto"/>
          <w:sz w:val="24"/>
          <w:szCs w:val="18"/>
          <w:highlight w:val="none"/>
          <w:lang w:eastAsia="zh-CN"/>
        </w:rPr>
      </w:pPr>
      <w:r>
        <w:rPr>
          <w:rFonts w:hint="eastAsia" w:ascii="宋体" w:hAnsi="宋体" w:eastAsia="宋体" w:cs="宋体"/>
          <w:b w:val="0"/>
          <w:bCs w:val="0"/>
          <w:sz w:val="24"/>
          <w:szCs w:val="24"/>
          <w:vertAlign w:val="baseline"/>
          <w:lang w:val="en-US" w:eastAsia="zh-CN"/>
        </w:rPr>
        <w:t>2.5.5中标人自行配置一辆四轮电动垃圾四分类收集车，主要用于应急场合使用，由采购人安排具体使用场景，车辆运维费用包含在总价中，采购人不另行支付。</w:t>
      </w:r>
      <w:r>
        <w:rPr>
          <w:rFonts w:hint="eastAsia" w:ascii="宋体" w:hAnsi="宋体" w:eastAsia="宋体" w:cs="宋体"/>
          <w:b/>
          <w:bCs/>
          <w:color w:val="auto"/>
          <w:sz w:val="24"/>
          <w:szCs w:val="18"/>
          <w:highlight w:val="none"/>
          <w:lang w:eastAsia="zh-CN"/>
        </w:rPr>
        <w:br w:type="page"/>
      </w:r>
    </w:p>
    <w:p w14:paraId="600237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5B0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42F071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4" w:type="pct"/>
            <w:vAlign w:val="center"/>
          </w:tcPr>
          <w:p w14:paraId="471502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1711" w:type="pct"/>
            <w:vAlign w:val="center"/>
          </w:tcPr>
          <w:p w14:paraId="1183FC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621" w:type="pct"/>
            <w:vAlign w:val="center"/>
          </w:tcPr>
          <w:p w14:paraId="6D027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07968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73" w:type="pct"/>
            <w:vAlign w:val="center"/>
          </w:tcPr>
          <w:p w14:paraId="513290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048AF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582" w:type="pct"/>
            <w:vAlign w:val="center"/>
          </w:tcPr>
          <w:p w14:paraId="5C34A4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537" w:type="pct"/>
            <w:vAlign w:val="center"/>
          </w:tcPr>
          <w:p w14:paraId="19E613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71D8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7D12DA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4" w:type="pct"/>
            <w:vAlign w:val="center"/>
          </w:tcPr>
          <w:p w14:paraId="018921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“两网融合”垃圾分类设施</w:t>
            </w:r>
          </w:p>
        </w:tc>
        <w:tc>
          <w:tcPr>
            <w:tcW w:w="1711" w:type="pct"/>
            <w:vAlign w:val="center"/>
          </w:tcPr>
          <w:p w14:paraId="47B32FF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rPr>
              <w:t>1</w:t>
            </w:r>
            <w:r>
              <w:rPr>
                <w:rFonts w:hint="eastAsia" w:ascii="宋体" w:hAnsi="宋体" w:eastAsia="宋体" w:cs="宋体"/>
                <w:bCs/>
                <w:color w:val="auto"/>
                <w:sz w:val="24"/>
                <w:szCs w:val="18"/>
                <w:highlight w:val="none"/>
                <w:lang w:val="en-US" w:eastAsia="zh-CN"/>
              </w:rPr>
              <w:t>、</w:t>
            </w:r>
            <w:r>
              <w:rPr>
                <w:rFonts w:hint="eastAsia" w:ascii="宋体" w:hAnsi="宋体" w:eastAsia="宋体" w:cs="宋体"/>
                <w:bCs/>
                <w:color w:val="auto"/>
                <w:sz w:val="24"/>
                <w:szCs w:val="18"/>
                <w:highlight w:val="none"/>
                <w:lang w:eastAsia="zh-CN"/>
              </w:rPr>
              <w:t>材质：采用国标镀锌型材框架焊接，所有接缝处做防腐、防水处理，焊口涂刷防腐漆。一体化整体结构，主结构采用80×40×2.0mm、60×40×2.0mm 镀锌钢管焊接拼装，辅助梁采用 40×40×1.5mm、20×40×1.5mm 镀锌钢管；主结构水平间距≤650mm，垂直间距≤1000mm。</w:t>
            </w:r>
            <w:r>
              <w:rPr>
                <w:rFonts w:hint="eastAsia" w:ascii="宋体" w:hAnsi="宋体" w:eastAsia="宋体" w:cs="宋体"/>
                <w:bCs/>
                <w:color w:val="auto"/>
                <w:sz w:val="24"/>
                <w:szCs w:val="18"/>
                <w:highlight w:val="none"/>
              </w:rPr>
              <w:t>设计使用年限≥10年</w:t>
            </w:r>
            <w:r>
              <w:rPr>
                <w:rFonts w:hint="eastAsia" w:ascii="宋体" w:hAnsi="宋体" w:eastAsia="宋体" w:cs="宋体"/>
                <w:bCs/>
                <w:color w:val="auto"/>
                <w:sz w:val="24"/>
                <w:szCs w:val="18"/>
                <w:highlight w:val="none"/>
                <w:lang w:eastAsia="zh-CN"/>
              </w:rPr>
              <w:t>；</w:t>
            </w:r>
          </w:p>
          <w:p w14:paraId="700972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2、</w:t>
            </w:r>
            <w:r>
              <w:rPr>
                <w:rFonts w:hint="eastAsia" w:ascii="宋体" w:hAnsi="宋体" w:eastAsia="宋体" w:cs="宋体"/>
                <w:bCs/>
                <w:color w:val="auto"/>
                <w:sz w:val="24"/>
                <w:szCs w:val="18"/>
                <w:highlight w:val="none"/>
                <w:lang w:eastAsia="zh-CN"/>
              </w:rPr>
              <w:t>外墙：采用≥16mm 厚金属雕花板，样式美观大方，便于吊装运输，颜色根据</w:t>
            </w:r>
            <w:r>
              <w:rPr>
                <w:rFonts w:hint="eastAsia" w:ascii="宋体" w:hAnsi="宋体" w:eastAsia="宋体" w:cs="宋体"/>
                <w:bCs/>
                <w:color w:val="auto"/>
                <w:sz w:val="24"/>
                <w:szCs w:val="18"/>
                <w:highlight w:val="none"/>
                <w:lang w:val="en-US" w:eastAsia="zh-CN"/>
              </w:rPr>
              <w:t>效果图及采购人</w:t>
            </w:r>
            <w:r>
              <w:rPr>
                <w:rFonts w:hint="eastAsia" w:ascii="宋体" w:hAnsi="宋体" w:eastAsia="宋体" w:cs="宋体"/>
                <w:bCs/>
                <w:color w:val="auto"/>
                <w:sz w:val="24"/>
                <w:szCs w:val="18"/>
                <w:highlight w:val="none"/>
                <w:lang w:eastAsia="zh-CN"/>
              </w:rPr>
              <w:t>确定；</w:t>
            </w:r>
          </w:p>
          <w:p w14:paraId="687D165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3、</w:t>
            </w:r>
            <w:r>
              <w:rPr>
                <w:rFonts w:hint="eastAsia" w:ascii="宋体" w:hAnsi="宋体" w:eastAsia="宋体" w:cs="宋体"/>
                <w:bCs/>
                <w:color w:val="auto"/>
                <w:sz w:val="24"/>
                <w:szCs w:val="18"/>
                <w:highlight w:val="none"/>
                <w:lang w:eastAsia="zh-CN"/>
              </w:rPr>
              <w:t>内部：采用≥8mm 厚金属合成保温板作为墙板和吊顶；金属合成保温板和结构框架之间设置≥5mm 厚水泥板；</w:t>
            </w:r>
          </w:p>
          <w:p w14:paraId="6AFC3A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4、</w:t>
            </w:r>
            <w:r>
              <w:rPr>
                <w:rFonts w:hint="eastAsia" w:ascii="宋体" w:hAnsi="宋体" w:eastAsia="宋体" w:cs="宋体"/>
                <w:bCs/>
                <w:color w:val="auto"/>
                <w:sz w:val="24"/>
                <w:szCs w:val="18"/>
                <w:highlight w:val="none"/>
                <w:lang w:eastAsia="zh-CN"/>
              </w:rPr>
              <w:t>屋顶：采用≥50mm 厚硅岩双层瓦楞保温板封顶，采取可靠防水措施，确保不漏水；</w:t>
            </w:r>
          </w:p>
          <w:p w14:paraId="22AAF71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5、</w:t>
            </w:r>
            <w:r>
              <w:rPr>
                <w:rFonts w:hint="eastAsia" w:ascii="宋体" w:hAnsi="宋体" w:eastAsia="宋体" w:cs="宋体"/>
                <w:bCs/>
                <w:color w:val="auto"/>
                <w:sz w:val="24"/>
                <w:szCs w:val="18"/>
                <w:highlight w:val="none"/>
                <w:lang w:eastAsia="zh-CN"/>
              </w:rPr>
              <w:t>底板：采用600×600mm 防滑地砖现场铺设，做好返水处理；设置2处尺寸 200×580mm 下水地漏，放置不锈钢篦子，地漏间采用≥110mmPVC 排水管连通，防止垃圾进入污水管网；</w:t>
            </w:r>
          </w:p>
          <w:p w14:paraId="329CE2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6、</w:t>
            </w:r>
            <w:r>
              <w:rPr>
                <w:rFonts w:hint="eastAsia" w:ascii="宋体" w:hAnsi="宋体" w:eastAsia="宋体" w:cs="宋体"/>
                <w:bCs/>
                <w:color w:val="auto"/>
                <w:sz w:val="24"/>
                <w:szCs w:val="18"/>
                <w:highlight w:val="none"/>
              </w:rPr>
              <w:t>用电安全符合 GB/T 4208-2017 外壳防护等级要求</w:t>
            </w:r>
            <w:r>
              <w:rPr>
                <w:rFonts w:hint="eastAsia" w:ascii="宋体" w:hAnsi="宋体" w:eastAsia="宋体" w:cs="宋体"/>
                <w:bCs/>
                <w:color w:val="auto"/>
                <w:sz w:val="24"/>
                <w:szCs w:val="18"/>
                <w:highlight w:val="none"/>
                <w:lang w:eastAsia="zh-CN"/>
              </w:rPr>
              <w:t>；</w:t>
            </w:r>
          </w:p>
          <w:p w14:paraId="4EF9B06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7、整体尺寸（长×宽×高）</w:t>
            </w:r>
            <w:r>
              <w:rPr>
                <w:rFonts w:hint="eastAsia" w:ascii="宋体" w:hAnsi="宋体" w:eastAsia="宋体" w:cs="宋体"/>
                <w:color w:val="000000" w:themeColor="text1"/>
                <w:sz w:val="24"/>
                <w:szCs w:val="24"/>
                <w:highlight w:val="none"/>
                <w:lang w:val="en-US" w:eastAsia="zh-CN"/>
                <w14:textFill>
                  <w14:solidFill>
                    <w14:schemeClr w14:val="tx1"/>
                  </w14:solidFill>
                </w14:textFill>
              </w:rPr>
              <w:t>5000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2500</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00±50mm</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不含飘檐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auto"/>
                <w:sz w:val="24"/>
                <w:szCs w:val="18"/>
                <w:highlight w:val="none"/>
                <w:lang w:val="en-US" w:eastAsia="zh-CN"/>
              </w:rPr>
              <w:t>；</w:t>
            </w:r>
          </w:p>
          <w:p w14:paraId="4DC5B1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8、具有3个其他垃圾投放口、1个厨余垃圾投放口、1个智能可回收物投放口，1个有害垃圾一体化洗手池。</w:t>
            </w:r>
          </w:p>
        </w:tc>
        <w:tc>
          <w:tcPr>
            <w:tcW w:w="621" w:type="pct"/>
            <w:vAlign w:val="center"/>
          </w:tcPr>
          <w:p w14:paraId="178821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236座</w:t>
            </w:r>
          </w:p>
        </w:tc>
        <w:tc>
          <w:tcPr>
            <w:tcW w:w="473" w:type="pct"/>
            <w:vAlign w:val="center"/>
          </w:tcPr>
          <w:p w14:paraId="266D79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582" w:type="pct"/>
            <w:vAlign w:val="center"/>
          </w:tcPr>
          <w:p w14:paraId="5BFD58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是</w:t>
            </w:r>
          </w:p>
        </w:tc>
        <w:tc>
          <w:tcPr>
            <w:tcW w:w="537" w:type="pct"/>
            <w:vAlign w:val="center"/>
          </w:tcPr>
          <w:p w14:paraId="713C5E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r w14:paraId="0918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90" w:hRule="atLeast"/>
          <w:jc w:val="center"/>
        </w:trPr>
        <w:tc>
          <w:tcPr>
            <w:tcW w:w="419" w:type="pct"/>
            <w:vAlign w:val="center"/>
          </w:tcPr>
          <w:p w14:paraId="7AD8CA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2</w:t>
            </w:r>
          </w:p>
        </w:tc>
        <w:tc>
          <w:tcPr>
            <w:tcW w:w="654" w:type="pct"/>
            <w:vAlign w:val="center"/>
          </w:tcPr>
          <w:p w14:paraId="2B1175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升级垃圾分类设施</w:t>
            </w:r>
          </w:p>
        </w:tc>
        <w:tc>
          <w:tcPr>
            <w:tcW w:w="1711" w:type="pct"/>
            <w:vAlign w:val="center"/>
          </w:tcPr>
          <w:p w14:paraId="2DF07F2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val="en-US" w:eastAsia="zh-CN"/>
              </w:rPr>
              <w:t>1、</w:t>
            </w:r>
            <w:r>
              <w:rPr>
                <w:rFonts w:hint="eastAsia" w:ascii="宋体" w:hAnsi="宋体" w:eastAsia="宋体" w:cs="宋体"/>
                <w:bCs/>
                <w:color w:val="auto"/>
                <w:sz w:val="24"/>
                <w:szCs w:val="18"/>
                <w:highlight w:val="none"/>
              </w:rPr>
              <w:t>整体要求</w:t>
            </w:r>
            <w:r>
              <w:rPr>
                <w:rFonts w:hint="eastAsia" w:ascii="宋体" w:hAnsi="宋体" w:eastAsia="宋体" w:cs="宋体"/>
                <w:bCs/>
                <w:color w:val="auto"/>
                <w:sz w:val="24"/>
                <w:szCs w:val="18"/>
                <w:highlight w:val="none"/>
                <w:lang w:eastAsia="zh-CN"/>
              </w:rPr>
              <w:t>：</w:t>
            </w:r>
            <w:r>
              <w:rPr>
                <w:rFonts w:hint="eastAsia" w:ascii="宋体" w:hAnsi="宋体" w:eastAsia="宋体" w:cs="宋体"/>
                <w:b w:val="0"/>
                <w:bCs w:val="0"/>
                <w:sz w:val="24"/>
                <w:szCs w:val="24"/>
                <w:vertAlign w:val="baseline"/>
                <w:lang w:val="en-US" w:eastAsia="zh-CN"/>
              </w:rPr>
              <w:t>增加有害垃圾一体化洗手池</w:t>
            </w:r>
            <w:r>
              <w:rPr>
                <w:rFonts w:hint="eastAsia" w:ascii="宋体" w:hAnsi="宋体" w:eastAsia="宋体" w:cs="宋体"/>
                <w:color w:val="000000"/>
                <w:kern w:val="0"/>
                <w:sz w:val="24"/>
                <w:szCs w:val="24"/>
                <w:lang w:val="en-US" w:eastAsia="zh-CN" w:bidi="ar"/>
              </w:rPr>
              <w:t>、灭蝇灯、臭氧除臭机及照明灯，</w:t>
            </w:r>
            <w:r>
              <w:rPr>
                <w:rFonts w:hint="eastAsia" w:ascii="宋体" w:hAnsi="宋体" w:eastAsia="宋体" w:cs="宋体"/>
                <w:color w:val="000000" w:themeColor="text1"/>
                <w:sz w:val="24"/>
                <w:szCs w:val="24"/>
                <w:lang w:val="en-US" w:eastAsia="zh-CN"/>
                <w14:textFill>
                  <w14:solidFill>
                    <w14:schemeClr w14:val="tx1"/>
                  </w14:solidFill>
                </w14:textFill>
              </w:rPr>
              <w:t>并对基础部分进行对应改造，</w:t>
            </w:r>
            <w:r>
              <w:rPr>
                <w:rFonts w:hint="eastAsia" w:ascii="宋体" w:hAnsi="宋体" w:eastAsia="宋体" w:cs="宋体"/>
                <w:color w:val="000000"/>
                <w:kern w:val="0"/>
                <w:sz w:val="24"/>
                <w:szCs w:val="24"/>
                <w:lang w:val="en-US" w:eastAsia="zh-CN" w:bidi="ar"/>
              </w:rPr>
              <w:t>具备通水、通电、通下水功能；</w:t>
            </w:r>
          </w:p>
          <w:p w14:paraId="5B9187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4"/>
                <w:szCs w:val="18"/>
                <w:highlight w:val="none"/>
                <w:lang w:eastAsia="zh-CN"/>
              </w:rPr>
            </w:pPr>
            <w:r>
              <w:rPr>
                <w:rFonts w:hint="eastAsia" w:ascii="宋体" w:hAnsi="宋体" w:eastAsia="宋体" w:cs="宋体"/>
                <w:bCs/>
                <w:color w:val="auto"/>
                <w:sz w:val="24"/>
                <w:szCs w:val="18"/>
                <w:highlight w:val="none"/>
                <w:lang w:val="en-US" w:eastAsia="zh-CN"/>
              </w:rPr>
              <w:t>2、</w:t>
            </w:r>
            <w:r>
              <w:rPr>
                <w:rFonts w:hint="eastAsia" w:ascii="宋体" w:hAnsi="宋体" w:eastAsia="宋体" w:cs="宋体"/>
                <w:bCs/>
                <w:color w:val="auto"/>
                <w:sz w:val="24"/>
                <w:szCs w:val="18"/>
                <w:highlight w:val="none"/>
              </w:rPr>
              <w:t>用电安全符合 GB/T 4208-2017 防护等级要求</w:t>
            </w:r>
            <w:r>
              <w:rPr>
                <w:rFonts w:hint="eastAsia" w:ascii="宋体" w:hAnsi="宋体" w:eastAsia="宋体" w:cs="宋体"/>
                <w:bCs/>
                <w:color w:val="auto"/>
                <w:sz w:val="24"/>
                <w:szCs w:val="18"/>
                <w:highlight w:val="none"/>
                <w:lang w:eastAsia="zh-CN"/>
              </w:rPr>
              <w:t>；</w:t>
            </w:r>
          </w:p>
          <w:p w14:paraId="54DEDA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3、其中369座在原有点位进行升级，236座移位至采购人指定位置安装升级；</w:t>
            </w:r>
          </w:p>
        </w:tc>
        <w:tc>
          <w:tcPr>
            <w:tcW w:w="621" w:type="pct"/>
            <w:vAlign w:val="center"/>
          </w:tcPr>
          <w:p w14:paraId="666D01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605座</w:t>
            </w:r>
          </w:p>
        </w:tc>
        <w:tc>
          <w:tcPr>
            <w:tcW w:w="473" w:type="pct"/>
            <w:vAlign w:val="center"/>
          </w:tcPr>
          <w:p w14:paraId="54FA73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工业</w:t>
            </w:r>
          </w:p>
        </w:tc>
        <w:tc>
          <w:tcPr>
            <w:tcW w:w="582" w:type="pct"/>
            <w:vAlign w:val="center"/>
          </w:tcPr>
          <w:p w14:paraId="487EAA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否</w:t>
            </w:r>
          </w:p>
        </w:tc>
        <w:tc>
          <w:tcPr>
            <w:tcW w:w="537" w:type="pct"/>
            <w:vAlign w:val="center"/>
          </w:tcPr>
          <w:p w14:paraId="7DE29B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bookmarkEnd w:id="1"/>
      <w:bookmarkEnd w:id="2"/>
      <w:bookmarkEnd w:id="3"/>
    </w:tbl>
    <w:p w14:paraId="77909AA5">
      <w:pPr>
        <w:pStyle w:val="5"/>
        <w:spacing w:before="117" w:line="219" w:lineRule="auto"/>
        <w:ind w:left="569"/>
        <w:outlineLvl w:val="1"/>
        <w:rPr>
          <w:sz w:val="24"/>
          <w:szCs w:val="24"/>
        </w:rPr>
      </w:pPr>
      <w:r>
        <w:rPr>
          <w:rFonts w:hint="eastAsia" w:ascii="宋体" w:hAnsi="宋体" w:eastAsia="宋体" w:cs="宋体"/>
          <w:b/>
          <w:bCs/>
          <w:color w:val="auto"/>
          <w:sz w:val="24"/>
          <w:highlight w:val="none"/>
        </w:rPr>
        <w:br w:type="page"/>
      </w:r>
      <w:r>
        <w:rPr>
          <w:rFonts w:hint="eastAsia" w:ascii="宋体" w:hAnsi="宋体" w:eastAsia="宋体" w:cs="宋体"/>
          <w:b/>
          <w:bCs w:val="0"/>
          <w:color w:val="auto"/>
          <w:spacing w:val="0"/>
          <w:sz w:val="24"/>
          <w:szCs w:val="18"/>
          <w:highlight w:val="none"/>
          <w:lang w:val="en-US"/>
        </w:rPr>
        <w:t>（</w:t>
      </w:r>
      <w:r>
        <w:rPr>
          <w:rFonts w:hint="eastAsia" w:ascii="宋体" w:hAnsi="宋体" w:eastAsia="宋体" w:cs="宋体"/>
          <w:b/>
          <w:bCs w:val="0"/>
          <w:color w:val="auto"/>
          <w:spacing w:val="0"/>
          <w:sz w:val="24"/>
          <w:szCs w:val="18"/>
          <w:highlight w:val="none"/>
          <w:lang w:val="en-US" w:eastAsia="zh-CN"/>
        </w:rPr>
        <w:t>二</w:t>
      </w:r>
      <w:r>
        <w:rPr>
          <w:rFonts w:hint="eastAsia" w:ascii="宋体" w:hAnsi="宋体" w:eastAsia="宋体" w:cs="宋体"/>
          <w:b/>
          <w:bCs w:val="0"/>
          <w:color w:val="auto"/>
          <w:spacing w:val="0"/>
          <w:sz w:val="24"/>
          <w:szCs w:val="18"/>
          <w:highlight w:val="none"/>
          <w:lang w:val="en-US"/>
        </w:rPr>
        <w:t>）货物内含设施配备数量</w:t>
      </w:r>
    </w:p>
    <w:p w14:paraId="3FA169A8">
      <w:pPr>
        <w:spacing w:line="73" w:lineRule="exact"/>
      </w:pPr>
    </w:p>
    <w:tbl>
      <w:tblPr>
        <w:tblStyle w:val="15"/>
        <w:tblW w:w="85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3"/>
        <w:gridCol w:w="2856"/>
        <w:gridCol w:w="1246"/>
        <w:gridCol w:w="1260"/>
        <w:gridCol w:w="1260"/>
        <w:gridCol w:w="1156"/>
      </w:tblGrid>
      <w:tr w14:paraId="073F9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9AD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8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FB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设施名称</w:t>
            </w:r>
          </w:p>
        </w:tc>
        <w:tc>
          <w:tcPr>
            <w:tcW w:w="37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80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“两网融合”垃圾分类设施</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EC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升级垃圾分类设施</w:t>
            </w:r>
          </w:p>
        </w:tc>
      </w:tr>
      <w:tr w14:paraId="74ED0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BD847">
            <w:pPr>
              <w:jc w:val="center"/>
              <w:rPr>
                <w:rFonts w:hint="eastAsia" w:ascii="宋体" w:hAnsi="宋体" w:eastAsia="宋体" w:cs="宋体"/>
                <w:i w:val="0"/>
                <w:iCs w:val="0"/>
                <w:color w:val="000000"/>
                <w:sz w:val="24"/>
                <w:szCs w:val="24"/>
                <w:u w:val="none"/>
              </w:rPr>
            </w:pPr>
          </w:p>
        </w:tc>
        <w:tc>
          <w:tcPr>
            <w:tcW w:w="28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32BEE">
            <w:pPr>
              <w:jc w:val="center"/>
              <w:rPr>
                <w:rFonts w:hint="eastAsia" w:ascii="宋体" w:hAnsi="宋体" w:eastAsia="宋体" w:cs="宋体"/>
                <w:i w:val="0"/>
                <w:iCs w:val="0"/>
                <w:color w:val="000000"/>
                <w:sz w:val="24"/>
                <w:szCs w:val="24"/>
                <w:u w:val="none"/>
              </w:rPr>
            </w:pP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E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其他垃圾</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1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厨余垃圾</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F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可回收物</w:t>
            </w: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986B0">
            <w:pPr>
              <w:jc w:val="center"/>
              <w:rPr>
                <w:rFonts w:hint="eastAsia" w:ascii="宋体" w:hAnsi="宋体" w:eastAsia="宋体" w:cs="宋体"/>
                <w:i w:val="0"/>
                <w:iCs w:val="0"/>
                <w:color w:val="000000"/>
                <w:sz w:val="24"/>
                <w:szCs w:val="24"/>
                <w:u w:val="none"/>
              </w:rPr>
            </w:pPr>
          </w:p>
        </w:tc>
      </w:tr>
      <w:tr w14:paraId="620C6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F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F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智能投口</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3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C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E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53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4F5DB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1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2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普通投口</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A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1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B0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D0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62E1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E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C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称重计量模块</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1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6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79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6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r>
      <w:tr w14:paraId="19A4F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5D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2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满溢报警模块</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1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6E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3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48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74E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A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0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智能控制系统</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2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C2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5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C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12F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5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2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投口抓拍系统</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7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7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2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9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7A5D1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3E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A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中控显示屏</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2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1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2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E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28E35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F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E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照明灯</w:t>
            </w:r>
          </w:p>
        </w:tc>
        <w:tc>
          <w:tcPr>
            <w:tcW w:w="3766" w:type="dxa"/>
            <w:gridSpan w:val="3"/>
            <w:tcBorders>
              <w:top w:val="single" w:color="000000" w:sz="4" w:space="0"/>
              <w:left w:val="single" w:color="000000" w:sz="4" w:space="0"/>
              <w:bottom w:val="single" w:color="000000" w:sz="4" w:space="0"/>
              <w:right w:val="nil"/>
            </w:tcBorders>
            <w:shd w:val="clear" w:color="auto" w:fill="auto"/>
            <w:vAlign w:val="center"/>
          </w:tcPr>
          <w:p w14:paraId="6FF0F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32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9D5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3B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8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w:t>
            </w:r>
          </w:p>
        </w:tc>
        <w:tc>
          <w:tcPr>
            <w:tcW w:w="3766" w:type="dxa"/>
            <w:gridSpan w:val="3"/>
            <w:tcBorders>
              <w:top w:val="single" w:color="000000" w:sz="4" w:space="0"/>
              <w:left w:val="single" w:color="000000" w:sz="4" w:space="0"/>
              <w:bottom w:val="single" w:color="000000" w:sz="4" w:space="0"/>
              <w:right w:val="nil"/>
            </w:tcBorders>
            <w:shd w:val="clear" w:color="auto" w:fill="auto"/>
            <w:vAlign w:val="center"/>
          </w:tcPr>
          <w:p w14:paraId="34400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D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2BEE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A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2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AI边缘计算网关</w:t>
            </w:r>
          </w:p>
        </w:tc>
        <w:tc>
          <w:tcPr>
            <w:tcW w:w="3766" w:type="dxa"/>
            <w:gridSpan w:val="3"/>
            <w:tcBorders>
              <w:top w:val="single" w:color="000000" w:sz="4" w:space="0"/>
              <w:left w:val="single" w:color="000000" w:sz="4" w:space="0"/>
              <w:bottom w:val="single" w:color="000000" w:sz="4" w:space="0"/>
              <w:right w:val="nil"/>
            </w:tcBorders>
            <w:shd w:val="clear" w:color="auto" w:fill="auto"/>
            <w:vAlign w:val="center"/>
          </w:tcPr>
          <w:p w14:paraId="4E8F4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F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9226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B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A9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烟雾报警器</w:t>
            </w:r>
          </w:p>
        </w:tc>
        <w:tc>
          <w:tcPr>
            <w:tcW w:w="3766" w:type="dxa"/>
            <w:gridSpan w:val="3"/>
            <w:tcBorders>
              <w:top w:val="single" w:color="000000" w:sz="4" w:space="0"/>
              <w:left w:val="single" w:color="000000" w:sz="4" w:space="0"/>
              <w:bottom w:val="single" w:color="000000" w:sz="4" w:space="0"/>
              <w:right w:val="nil"/>
            </w:tcBorders>
            <w:shd w:val="clear" w:color="auto" w:fill="auto"/>
            <w:vAlign w:val="center"/>
          </w:tcPr>
          <w:p w14:paraId="04DE3E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7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0C72B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3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CB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制冷机</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2F1BC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8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F70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E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6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垃圾分类宣传显示屏</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7C8A9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D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28FFA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A2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B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有害垃圾一体化洗手池</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797C2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E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5FA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0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8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灭蝇灯</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0E2C5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A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1C3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35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D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臭氧除臭机</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4AC94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C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BBB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A73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A6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灭火器</w:t>
            </w:r>
          </w:p>
        </w:tc>
        <w:tc>
          <w:tcPr>
            <w:tcW w:w="3766" w:type="dxa"/>
            <w:gridSpan w:val="3"/>
            <w:tcBorders>
              <w:top w:val="single" w:color="000000" w:sz="4" w:space="0"/>
              <w:left w:val="single" w:color="000000" w:sz="4" w:space="0"/>
              <w:bottom w:val="single" w:color="000000" w:sz="4" w:space="0"/>
              <w:right w:val="nil"/>
            </w:tcBorders>
            <w:shd w:val="clear" w:color="auto" w:fill="auto"/>
            <w:noWrap/>
            <w:vAlign w:val="center"/>
          </w:tcPr>
          <w:p w14:paraId="0FC2962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7A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bl>
    <w:p w14:paraId="135ECF59">
      <w:pPr>
        <w:pStyle w:val="5"/>
        <w:spacing w:before="117" w:line="219" w:lineRule="auto"/>
        <w:ind w:left="569"/>
        <w:outlineLvl w:val="1"/>
        <w:rPr>
          <w:b/>
          <w:bCs/>
          <w:spacing w:val="-4"/>
          <w:sz w:val="24"/>
          <w:szCs w:val="24"/>
        </w:rPr>
      </w:pPr>
    </w:p>
    <w:p w14:paraId="02DE287B">
      <w:pPr>
        <w:pStyle w:val="5"/>
        <w:spacing w:before="117" w:line="219" w:lineRule="auto"/>
        <w:ind w:left="569"/>
        <w:outlineLvl w:val="1"/>
        <w:rPr>
          <w:b/>
          <w:bCs/>
          <w:spacing w:val="-4"/>
          <w:sz w:val="24"/>
          <w:szCs w:val="24"/>
        </w:rPr>
      </w:pPr>
    </w:p>
    <w:p w14:paraId="584D4CA7">
      <w:pPr>
        <w:spacing w:before="117"/>
        <w:outlineLvl w:val="1"/>
        <w:rPr>
          <w:rFonts w:hint="eastAsia" w:ascii="宋体" w:hAnsi="宋体" w:eastAsia="宋体" w:cs="宋体"/>
          <w:b/>
          <w:bCs w:val="0"/>
          <w:color w:val="auto"/>
          <w:spacing w:val="0"/>
          <w:sz w:val="24"/>
          <w:szCs w:val="18"/>
          <w:highlight w:val="none"/>
          <w:lang w:val="en-US"/>
        </w:rPr>
      </w:pPr>
      <w:r>
        <w:rPr>
          <w:rFonts w:hint="eastAsia" w:ascii="宋体" w:hAnsi="宋体" w:eastAsia="宋体" w:cs="宋体"/>
          <w:b/>
          <w:bCs w:val="0"/>
          <w:color w:val="auto"/>
          <w:spacing w:val="0"/>
          <w:sz w:val="24"/>
          <w:szCs w:val="18"/>
          <w:highlight w:val="none"/>
          <w:lang w:val="en-US"/>
        </w:rPr>
        <w:br w:type="page"/>
      </w:r>
    </w:p>
    <w:p w14:paraId="4B44C5D4">
      <w:pPr>
        <w:pStyle w:val="5"/>
        <w:spacing w:before="117" w:line="219" w:lineRule="auto"/>
        <w:ind w:left="569"/>
        <w:outlineLvl w:val="1"/>
        <w:rPr>
          <w:rFonts w:hint="eastAsia" w:ascii="宋体" w:hAnsi="宋体" w:eastAsia="宋体" w:cs="宋体"/>
          <w:b/>
          <w:color w:val="auto"/>
          <w:sz w:val="24"/>
          <w:szCs w:val="18"/>
          <w:highlight w:val="none"/>
          <w:lang w:val="en-US"/>
        </w:rPr>
      </w:pPr>
      <w:r>
        <w:rPr>
          <w:rFonts w:hint="eastAsia" w:ascii="宋体" w:hAnsi="宋体" w:eastAsia="宋体" w:cs="宋体"/>
          <w:b/>
          <w:bCs w:val="0"/>
          <w:color w:val="auto"/>
          <w:spacing w:val="0"/>
          <w:sz w:val="24"/>
          <w:szCs w:val="18"/>
          <w:highlight w:val="none"/>
          <w:lang w:val="en-US"/>
        </w:rPr>
        <w:t>（</w:t>
      </w:r>
      <w:r>
        <w:rPr>
          <w:rFonts w:hint="eastAsia" w:ascii="宋体" w:hAnsi="宋体" w:eastAsia="宋体" w:cs="宋体"/>
          <w:b/>
          <w:bCs w:val="0"/>
          <w:color w:val="auto"/>
          <w:spacing w:val="0"/>
          <w:sz w:val="24"/>
          <w:szCs w:val="18"/>
          <w:highlight w:val="none"/>
          <w:lang w:val="en-US" w:eastAsia="zh-CN"/>
        </w:rPr>
        <w:t>三</w:t>
      </w:r>
      <w:r>
        <w:rPr>
          <w:rFonts w:hint="eastAsia" w:ascii="宋体" w:hAnsi="宋体" w:eastAsia="宋体" w:cs="宋体"/>
          <w:b/>
          <w:bCs w:val="0"/>
          <w:color w:val="auto"/>
          <w:spacing w:val="0"/>
          <w:sz w:val="24"/>
          <w:szCs w:val="18"/>
          <w:highlight w:val="none"/>
          <w:lang w:val="en-US"/>
        </w:rPr>
        <w:t>）货物内含设施技术参数要求</w:t>
      </w:r>
    </w:p>
    <w:p w14:paraId="20D95EFB">
      <w:pPr>
        <w:spacing w:before="32"/>
      </w:pPr>
    </w:p>
    <w:tbl>
      <w:tblPr>
        <w:tblStyle w:val="15"/>
        <w:tblW w:w="9255" w:type="dxa"/>
        <w:tblInd w:w="1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1"/>
        <w:gridCol w:w="1209"/>
        <w:gridCol w:w="6555"/>
      </w:tblGrid>
      <w:tr w14:paraId="5B9B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840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3C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设施名称</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418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技术参数及要求</w:t>
            </w:r>
          </w:p>
        </w:tc>
      </w:tr>
      <w:tr w14:paraId="3CD88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F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4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智能投口</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1B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开门电机：最大推拉力≥200N，行程150mm或250mm（根据不同开门方式选择），速度≥50mm/s，环境温度-40℃至102℃,标准保护等级IP54，内置限位开关和状态反馈，噪音等级≤56dB（A），关门后须达到密闭状态，具备防夹机械装置及过流保护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2、开门方式：支持刷卡、扫码、亮码、触摸屏操作、NFC；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3、导流台：可拆卸，不锈钢材质，防割手折边处理。</w:t>
            </w:r>
          </w:p>
        </w:tc>
      </w:tr>
      <w:tr w14:paraId="73C14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2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3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普通投口</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E1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1、设计整体式面板，同时具备脚踩、感应、按钮开门方式，投放结束后投口门自动关闭；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2、投口预留智能化升级钣金结构，便于后期安装智能化配件升级，主要涉及AI摄像头、智能屏≥10寸、刷卡器、智能秤的安装。</w:t>
            </w:r>
          </w:p>
        </w:tc>
      </w:tr>
      <w:tr w14:paraId="1B27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0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17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称重计量模块</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72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★每个模块配置2个传感器，单个量程0-200kg，分度值≤50g。</w:t>
            </w:r>
          </w:p>
        </w:tc>
      </w:tr>
      <w:tr w14:paraId="6D78E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C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B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满溢报警模块</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21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★1、激光测距传感器：检测距离≥2000mm，精度±10mm；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2、满溢联动：满溢后自动报警并锁闭投口，报警信息实时上传并推送清运人员，清运后自动恢复。</w:t>
            </w:r>
          </w:p>
        </w:tc>
      </w:tr>
      <w:tr w14:paraId="7B1E3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8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45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4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智能控制系统</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4D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★1、核心主控：工业级 32 位 MCU（主频≥72MHz），内置大容量存储，支持多任务并发；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2、电机驱动控制：板载≥1路直流电机驱动，支持 PWM 调速，具备硬件级堵转与过流保护（持续电流≥2A，峰值≥3A）；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3、传感器采集：预留≥6 路数字量输入（支持 NPN/干接点）；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★4.高精度称重：支持 4/5 线传感器，精度达±0.1%F.S.；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5、CAN 总线通讯：配备≥1 路标准 CAN 接口，抗干扰能力强；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6、工业级环境适应：核心元器件宽温级，工作温度-20℃~+70℃ ,防潮、防静电、抗振动；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7、RS485 通讯：提供≥1路 RS485接口，支持 Modbus-RTU 等多点组网；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8、远程运维与扩展：支持OTA远程升级；预留SPI/I2C或GPIO扩展接口；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9、外设联动输出：配置多路继电器/MOS 管输出，支持驱动电磁锁、照明、语音及声光报警器等闭环控制；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10、宽压输入与保护：支持 DC 9V～30V 宽电压输入，具备防反接、过压、过流及短路多重硬件保护。</w:t>
            </w:r>
          </w:p>
        </w:tc>
      </w:tr>
      <w:tr w14:paraId="01743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A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0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投口抓拍系统</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EC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★1、分辨率：≥300万像素，</w:t>
            </w:r>
            <w:r>
              <w:rPr>
                <w:rFonts w:hint="eastAsia" w:ascii="宋体" w:hAnsi="宋体" w:eastAsia="宋体" w:cs="宋体"/>
                <w:i w:val="0"/>
                <w:iCs w:val="0"/>
                <w:color w:val="000000"/>
                <w:kern w:val="0"/>
                <w:sz w:val="24"/>
                <w:szCs w:val="24"/>
                <w:highlight w:val="none"/>
                <w:u w:val="none"/>
                <w:lang w:val="en-US" w:eastAsia="zh-CN" w:bidi="ar"/>
              </w:rPr>
              <w:t>最高分辨率≥2304×1296；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★2、镜头：4-6mm 高清镜头，ICR 双滤切换；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3、图像处理：支持宽动态、2D/3D 数字降噪、背光补偿、光敏灵敏度调节、补光模式切换等功能；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4、网络协议：支持 HTTP、TCP/IP 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5、扩展协议：支持 ONVIF、GB/T28181 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★6、防护等级：</w:t>
            </w:r>
            <w:r>
              <w:rPr>
                <w:rFonts w:hint="eastAsia" w:ascii="宋体" w:hAnsi="宋体" w:eastAsia="宋体" w:cs="宋体"/>
                <w:i w:val="0"/>
                <w:iCs w:val="0"/>
                <w:color w:val="000000"/>
                <w:kern w:val="0"/>
                <w:sz w:val="24"/>
                <w:szCs w:val="24"/>
                <w:highlight w:val="none"/>
                <w:u w:val="none"/>
                <w:lang w:val="en-US" w:eastAsia="zh-CN" w:bidi="ar"/>
              </w:rPr>
              <w:t>IP67，</w:t>
            </w:r>
            <w:r>
              <w:rPr>
                <w:rFonts w:hint="eastAsia" w:ascii="宋体" w:hAnsi="宋体" w:eastAsia="宋体" w:cs="宋体"/>
                <w:i w:val="0"/>
                <w:iCs w:val="0"/>
                <w:color w:val="000000"/>
                <w:kern w:val="0"/>
                <w:sz w:val="24"/>
                <w:szCs w:val="24"/>
                <w:u w:val="none"/>
                <w:lang w:val="en-US" w:eastAsia="zh-CN" w:bidi="ar"/>
              </w:rPr>
              <w:t>防尘防水；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7、工作温度：-30℃~60℃。</w:t>
            </w:r>
          </w:p>
        </w:tc>
      </w:tr>
      <w:tr w14:paraId="2D28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1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F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0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中控显示屏</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915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★1、电容触摸屏：尺寸≥10寸，</w:t>
            </w:r>
            <w:r>
              <w:rPr>
                <w:rFonts w:hint="eastAsia" w:ascii="宋体" w:hAnsi="宋体" w:eastAsia="宋体" w:cs="宋体"/>
                <w:i w:val="0"/>
                <w:iCs w:val="0"/>
                <w:color w:val="000000"/>
                <w:kern w:val="0"/>
                <w:sz w:val="24"/>
                <w:szCs w:val="24"/>
                <w:highlight w:val="none"/>
                <w:u w:val="none"/>
                <w:lang w:val="en-US" w:eastAsia="zh-CN" w:bidi="ar"/>
              </w:rPr>
              <w:t>分辨率≥1280×800；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2、响应时间：≤20ms；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★3、户外高亮，亮度≥1000cd/㎡；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4、功能：显示投放指引、积分查询、注册登录、设备状态等；支持后台远程控制重启、待机；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5、语音提示：具备根据投放情况进行不同语音提示功能。</w:t>
            </w:r>
          </w:p>
        </w:tc>
      </w:tr>
      <w:tr w14:paraId="768A3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A6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D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照明灯</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8FC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白光圆形 LED 桶灯，防水防尘防虫，直径100±10mm，功率≥7W。</w:t>
            </w:r>
          </w:p>
        </w:tc>
      </w:tr>
      <w:tr w14:paraId="67CE3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31" w:type="dxa"/>
            <w:tcBorders>
              <w:top w:val="nil"/>
              <w:left w:val="single" w:color="000000" w:sz="8" w:space="0"/>
              <w:bottom w:val="nil"/>
              <w:right w:val="nil"/>
            </w:tcBorders>
            <w:shd w:val="clear" w:color="auto" w:fill="auto"/>
            <w:vAlign w:val="center"/>
          </w:tcPr>
          <w:p w14:paraId="097A2B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09" w:type="dxa"/>
            <w:tcBorders>
              <w:top w:val="nil"/>
              <w:left w:val="single" w:color="000000" w:sz="4" w:space="0"/>
              <w:bottom w:val="nil"/>
              <w:right w:val="single" w:color="000000" w:sz="4" w:space="0"/>
            </w:tcBorders>
            <w:shd w:val="clear" w:color="auto" w:fill="auto"/>
            <w:vAlign w:val="center"/>
          </w:tcPr>
          <w:p w14:paraId="03790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w:t>
            </w:r>
          </w:p>
        </w:tc>
        <w:tc>
          <w:tcPr>
            <w:tcW w:w="6555" w:type="dxa"/>
            <w:tcBorders>
              <w:top w:val="nil"/>
              <w:left w:val="nil"/>
              <w:bottom w:val="nil"/>
              <w:right w:val="single" w:color="000000" w:sz="8" w:space="0"/>
            </w:tcBorders>
            <w:shd w:val="clear" w:color="auto" w:fill="auto"/>
            <w:vAlign w:val="center"/>
          </w:tcPr>
          <w:p w14:paraId="2D97B8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纯铜电机；规格≥80*80mm；风量≥20m³/h；噪音≤50dB (A)；具备防虫功能。</w:t>
            </w:r>
          </w:p>
        </w:tc>
      </w:tr>
      <w:tr w14:paraId="5C70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B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3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AI边缘计算网关</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E7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★1、AI 推理芯片：ARMv8-A四核 CPU（最高主频≥1.8GHz），集成NPU（INT8算力≥1TOPS），支持 TensorFlow Lite/ONNX部署，满载算力衰减≤20%；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2、运行内存：LPDDR4，容量≥4GB，频率≥3200Mbps；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3、存储：eMMC5.1（JEDEC 标准）≥32GB（工业级），支持TF 卡扩展（SDHC/SDXC）≥128GB。EMMC网络通信：支持4G全网通（TDD-LTE/FDD-LTE），向下兼容3G/2G；蓝牙5.0及以上；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4、扩展接口：USB2.0 Host≥2个；TTL 串口≥1个（115200bps）；RS485 串口≥1个（115200bps，带隔离）；CAN接口≥2个（CAN 2.0B，1Mbps）；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5、操作系统：支持多种操作系统（参照或相当于：Android、 Linux OS、国内产品操作系统等）。</w:t>
            </w:r>
          </w:p>
        </w:tc>
      </w:tr>
      <w:tr w14:paraId="05484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0" w:hRule="atLeast"/>
        </w:trPr>
        <w:tc>
          <w:tcPr>
            <w:tcW w:w="731" w:type="dxa"/>
            <w:tcBorders>
              <w:top w:val="nil"/>
              <w:left w:val="single" w:color="000000" w:sz="8" w:space="0"/>
              <w:bottom w:val="nil"/>
              <w:right w:val="nil"/>
            </w:tcBorders>
            <w:shd w:val="clear" w:color="auto" w:fill="auto"/>
            <w:vAlign w:val="center"/>
          </w:tcPr>
          <w:p w14:paraId="0DA0E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09" w:type="dxa"/>
            <w:tcBorders>
              <w:top w:val="nil"/>
              <w:left w:val="single" w:color="000000" w:sz="4" w:space="0"/>
              <w:bottom w:val="nil"/>
              <w:right w:val="single" w:color="000000" w:sz="4" w:space="0"/>
            </w:tcBorders>
            <w:shd w:val="clear" w:color="auto" w:fill="auto"/>
            <w:vAlign w:val="center"/>
          </w:tcPr>
          <w:p w14:paraId="559CE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烟雾报警器</w:t>
            </w:r>
          </w:p>
        </w:tc>
        <w:tc>
          <w:tcPr>
            <w:tcW w:w="6555" w:type="dxa"/>
            <w:tcBorders>
              <w:top w:val="nil"/>
              <w:left w:val="nil"/>
              <w:bottom w:val="nil"/>
              <w:right w:val="single" w:color="000000" w:sz="8" w:space="0"/>
            </w:tcBorders>
            <w:shd w:val="clear" w:color="auto" w:fill="auto"/>
            <w:vAlign w:val="center"/>
          </w:tcPr>
          <w:p w14:paraId="2B19D9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支持声光告警，须具备 4G 全网通或RJ45 网络接口，接入统一监管平台，提供API接口说明。</w:t>
            </w:r>
          </w:p>
        </w:tc>
      </w:tr>
      <w:tr w14:paraId="6E4C3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5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27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5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制冷机</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52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★壁挂式，1.5匹，变频，一级能效(符合GB 21455-2019要求，APF≥5.0)，制冷量≥3500W，制冷功率≤850W，循环风量量≥750m2/h，室内机噪音≤41dB(A)。</w:t>
            </w:r>
          </w:p>
        </w:tc>
      </w:tr>
      <w:tr w14:paraId="1DBD6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9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C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4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垃圾分类宣传显示屏</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AE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1、屏幕：40英寸IPS液晶面板，178°全视角，超高清画质，钢化玻璃防护；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2、硬件系统：安卓智能系统，1G运行内存，8G机身存储；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3、横竖屏：支持0°/90°/180°/360°横竖屏旋转切换；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4、分屏功能：支持智能自定义分屏，多区域同时播放图片、视频、文字素材；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5、定时管理：支持定时开关机，一次设置自动循环执行播放计划；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6、网络与远程：内置WIFI，支持远程素材发布、远程开关机、设备状态监控；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7、播放能力：不需要支持U盘播放、素材自动循环播放，7×24小时不间断运行；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8、包含10台远程控制移动设备；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9、包含接入网络及三年使用费用。</w:t>
            </w:r>
          </w:p>
        </w:tc>
      </w:tr>
      <w:tr w14:paraId="2CCC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0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0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有害垃圾及洗手池一体化</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7DA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★洗手池201不锈钢材质（或优于），有害垃圾及洗手池一体化尺寸：长*宽*高500*400*800mm（±10mm），洗手池底下设置有害投放口，台面与洗手池匹配，配备按压式水龙头。</w:t>
            </w:r>
          </w:p>
        </w:tc>
      </w:tr>
      <w:tr w14:paraId="58E67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55" w:hRule="atLeast"/>
        </w:trPr>
        <w:tc>
          <w:tcPr>
            <w:tcW w:w="731" w:type="dxa"/>
            <w:tcBorders>
              <w:top w:val="nil"/>
              <w:left w:val="single" w:color="000000" w:sz="8" w:space="0"/>
              <w:bottom w:val="nil"/>
              <w:right w:val="nil"/>
            </w:tcBorders>
            <w:shd w:val="clear" w:color="auto" w:fill="auto"/>
            <w:vAlign w:val="center"/>
          </w:tcPr>
          <w:p w14:paraId="09310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09" w:type="dxa"/>
            <w:tcBorders>
              <w:top w:val="nil"/>
              <w:left w:val="single" w:color="000000" w:sz="4" w:space="0"/>
              <w:bottom w:val="nil"/>
              <w:right w:val="single" w:color="000000" w:sz="4" w:space="0"/>
            </w:tcBorders>
            <w:shd w:val="clear" w:color="auto" w:fill="auto"/>
            <w:vAlign w:val="center"/>
          </w:tcPr>
          <w:p w14:paraId="6FA937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灭蝇灯</w:t>
            </w:r>
          </w:p>
        </w:tc>
        <w:tc>
          <w:tcPr>
            <w:tcW w:w="6555" w:type="dxa"/>
            <w:tcBorders>
              <w:top w:val="nil"/>
              <w:left w:val="nil"/>
              <w:bottom w:val="nil"/>
              <w:right w:val="single" w:color="000000" w:sz="8" w:space="0"/>
            </w:tcBorders>
            <w:shd w:val="clear" w:color="auto" w:fill="auto"/>
            <w:vAlign w:val="center"/>
          </w:tcPr>
          <w:p w14:paraId="6A4F46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1、壁挂粘捕式，电源AC220V，功率≥8W；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2、尺寸(长</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kern w:val="0"/>
                <w:sz w:val="24"/>
                <w:szCs w:val="24"/>
                <w:u w:val="none"/>
                <w:lang w:val="en-US" w:eastAsia="zh-CN" w:bidi="ar"/>
              </w:rPr>
              <w:t>宽</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kern w:val="0"/>
                <w:sz w:val="24"/>
                <w:szCs w:val="24"/>
                <w:u w:val="none"/>
                <w:lang w:val="en-US" w:eastAsia="zh-CN" w:bidi="ar"/>
              </w:rPr>
              <w:t>高)3</w:t>
            </w:r>
            <w:r>
              <w:rPr>
                <w:rFonts w:hint="eastAsia" w:ascii="宋体" w:hAnsi="宋体" w:eastAsia="宋体" w:cs="宋体"/>
                <w:i w:val="0"/>
                <w:iCs w:val="0"/>
                <w:color w:val="000000"/>
                <w:kern w:val="0"/>
                <w:sz w:val="24"/>
                <w:szCs w:val="24"/>
                <w:highlight w:val="none"/>
                <w:u w:val="none"/>
                <w:lang w:val="en-US" w:eastAsia="zh-CN" w:bidi="ar"/>
              </w:rPr>
              <w:t>80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kern w:val="0"/>
                <w:sz w:val="24"/>
                <w:szCs w:val="24"/>
                <w:highlight w:val="none"/>
                <w:u w:val="none"/>
                <w:lang w:val="en-US" w:eastAsia="zh-CN" w:bidi="ar"/>
              </w:rPr>
              <w:t>240</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kern w:val="0"/>
                <w:sz w:val="24"/>
                <w:szCs w:val="24"/>
                <w:highlight w:val="none"/>
                <w:u w:val="none"/>
                <w:lang w:val="en-US" w:eastAsia="zh-CN" w:bidi="ar"/>
              </w:rPr>
              <w:t>160mm(</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kern w:val="0"/>
                <w:sz w:val="24"/>
                <w:szCs w:val="24"/>
                <w:highlight w:val="none"/>
                <w:u w:val="none"/>
                <w:lang w:val="en-US" w:eastAsia="zh-CN" w:bidi="ar"/>
              </w:rPr>
              <w:t>10mm)。</w:t>
            </w:r>
          </w:p>
        </w:tc>
      </w:tr>
      <w:tr w14:paraId="3F23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0"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3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4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臭氧除臭机</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1B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1、壁挂式，采用臭氧消毒，具备定时开关、手动开关等功能；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2、额定功率≥140W，臭氧产生量≥5g/h；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★3、消毒效果:对白色葡萄球菌的杀灭率≥99.9%，对空气自然菌的消亡率≥90.0%(3次试验均值)，符合GB28232-2020《臭氧消毒器卫生要求》消毒合格标准。</w:t>
            </w:r>
          </w:p>
        </w:tc>
      </w:tr>
      <w:tr w14:paraId="2598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92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9DA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灭火器</w:t>
            </w:r>
          </w:p>
        </w:tc>
        <w:tc>
          <w:tcPr>
            <w:tcW w:w="6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FEA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配置2个2kg干粉灭火器</w:t>
            </w:r>
          </w:p>
        </w:tc>
      </w:tr>
    </w:tbl>
    <w:p w14:paraId="3F90E317">
      <w:pPr>
        <w:rPr>
          <w:rFonts w:hint="eastAsia" w:ascii="宋体" w:hAnsi="宋体" w:eastAsia="宋体" w:cs="宋体"/>
          <w:sz w:val="24"/>
          <w:szCs w:val="24"/>
        </w:rPr>
      </w:pPr>
    </w:p>
    <w:p w14:paraId="5E4E6FEB">
      <w:pPr>
        <w:rPr>
          <w:rFonts w:hint="eastAsia" w:ascii="宋体" w:hAnsi="宋体" w:eastAsia="宋体" w:cs="宋体"/>
          <w:b/>
          <w:bCs/>
          <w:sz w:val="24"/>
          <w:szCs w:val="24"/>
        </w:rPr>
      </w:pPr>
      <w:r>
        <w:rPr>
          <w:rFonts w:hint="eastAsia" w:ascii="宋体" w:hAnsi="宋体" w:eastAsia="宋体" w:cs="宋体"/>
          <w:b/>
          <w:bCs/>
          <w:sz w:val="24"/>
          <w:szCs w:val="24"/>
        </w:rPr>
        <w:br w:type="page"/>
      </w:r>
    </w:p>
    <w:p w14:paraId="16447639">
      <w:pPr>
        <w:spacing w:line="360" w:lineRule="auto"/>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）垃圾分类监管平台搭建要求</w:t>
      </w:r>
    </w:p>
    <w:p w14:paraId="0AE518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标人须为本项目搭建专属的垃圾分类监管平台，功能包括但不限于：设备管理系统、用户与积分/资金管理系统、投递管理系统、预警管理系统、清运管理系统、统计图表系统、权限管理系统，以及配套的微信小程序、设备端APP、监管端APP 等。</w:t>
      </w:r>
    </w:p>
    <w:p w14:paraId="763DB3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平台须实现以下目标：</w:t>
      </w:r>
    </w:p>
    <w:p w14:paraId="70366E5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对所有设施进行远程监控、智能识别、数据分析等。</w:t>
      </w:r>
    </w:p>
    <w:p w14:paraId="4AB978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采用“两网融合”创新模式，依托可溯源智能AI技术，提高厨余垃圾分出率和可回收物回收率，降低运行成本。</w:t>
      </w:r>
    </w:p>
    <w:p w14:paraId="391DF1C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支持多型号智能垃圾分类设备接入，实现可回收物、厨余垃圾和其他垃圾的智能识别、称重、计价和激励管理。</w:t>
      </w:r>
    </w:p>
    <w:p w14:paraId="7A2F02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与省、市、区各级政府智慧监管平台实现数据对接（国标协议接口对接）和共享。</w:t>
      </w:r>
    </w:p>
    <w:p w14:paraId="0D8A12F5">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中标人须于合同签订后15个</w:t>
      </w:r>
      <w:r>
        <w:rPr>
          <w:rFonts w:hint="eastAsia" w:ascii="宋体" w:hAnsi="宋体" w:eastAsia="宋体" w:cs="宋体"/>
          <w:b w:val="0"/>
          <w:bCs w:val="0"/>
          <w:sz w:val="24"/>
          <w:szCs w:val="24"/>
          <w:lang w:eastAsia="zh-CN"/>
        </w:rPr>
        <w:t>日历天</w:t>
      </w:r>
      <w:r>
        <w:rPr>
          <w:rFonts w:hint="eastAsia" w:ascii="宋体" w:hAnsi="宋体" w:eastAsia="宋体" w:cs="宋体"/>
          <w:b w:val="0"/>
          <w:bCs w:val="0"/>
          <w:sz w:val="24"/>
          <w:szCs w:val="24"/>
        </w:rPr>
        <w:t>内向采购人提供详细的技术方案，负责运营期内平台的运维、升级和管理，所有费用包含在投标报价中。</w:t>
      </w:r>
    </w:p>
    <w:p w14:paraId="6BDCDD9F">
      <w:pPr>
        <w:spacing w:line="360" w:lineRule="auto"/>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）安装调试、验收、质保及售后服务要求</w:t>
      </w:r>
    </w:p>
    <w:p w14:paraId="686580C3">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安装要求</w:t>
      </w:r>
    </w:p>
    <w:p w14:paraId="104EB61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中标人负责完成各投放点的场地基础处理（包括场地平整、硬化、排水等）及水电报装、接入（含管线预埋、接驳），确保设施通电、通水、通网络，满足正常运行条件。具体</w:t>
      </w:r>
      <w:r>
        <w:rPr>
          <w:rFonts w:hint="eastAsia" w:ascii="宋体" w:hAnsi="宋体" w:eastAsia="宋体" w:cs="宋体"/>
          <w:sz w:val="24"/>
          <w:szCs w:val="24"/>
          <w:lang w:val="en-US" w:eastAsia="zh-CN"/>
        </w:rPr>
        <w:t>供货</w:t>
      </w:r>
      <w:r>
        <w:rPr>
          <w:rFonts w:hint="eastAsia" w:ascii="宋体" w:hAnsi="宋体" w:eastAsia="宋体" w:cs="宋体"/>
          <w:sz w:val="24"/>
          <w:szCs w:val="24"/>
        </w:rPr>
        <w:t>方案合同签订后由中标人根据各点位实际情况编制，报采购人确认后实施。</w:t>
      </w:r>
    </w:p>
    <w:p w14:paraId="11A7950F">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验收要求</w:t>
      </w:r>
    </w:p>
    <w:p w14:paraId="127AEBB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（1）验收由采购人组织，属地街道、社区、业委会（或物业服务企业）参与。验收标准按采购文件及合同约定执行。</w:t>
      </w:r>
    </w:p>
    <w:p w14:paraId="6E35CF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（2）中标人须确保：投放设施安装位置已按程序公示或公告；在规定时间内完成安装并发起验收申请；设施及附属设备配置齐全、功能测试合格，具备运行条件；运行效果符合投标承诺及国家相关标准。</w:t>
      </w:r>
    </w:p>
    <w:p w14:paraId="7C3D558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（3）验收内容包括但不限于：设施规格、投口数量及配置、四分类标识规范、可回收物暂存区、设备功能（称重、满溢报警、智能识别等）、平台数据接入、安全防护措施等。</w:t>
      </w:r>
    </w:p>
    <w:p w14:paraId="5E840E4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（4）验收不合格处理：</w:t>
      </w:r>
    </w:p>
    <w:p w14:paraId="155563D0">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①限期整改</w:t>
      </w:r>
      <w:r>
        <w:rPr>
          <w:rFonts w:hint="eastAsia" w:ascii="宋体" w:hAnsi="宋体" w:eastAsia="宋体" w:cs="宋体"/>
          <w:sz w:val="24"/>
          <w:szCs w:val="24"/>
        </w:rPr>
        <w:t>：验收不合格的，中标人须在验收之日起7个日历</w:t>
      </w:r>
      <w:r>
        <w:rPr>
          <w:rFonts w:hint="eastAsia" w:ascii="宋体" w:hAnsi="宋体" w:eastAsia="宋体" w:cs="宋体"/>
          <w:sz w:val="24"/>
          <w:szCs w:val="24"/>
          <w:lang w:val="en-US" w:eastAsia="zh-CN"/>
        </w:rPr>
        <w:t>天</w:t>
      </w:r>
      <w:r>
        <w:rPr>
          <w:rFonts w:hint="eastAsia" w:ascii="宋体" w:hAnsi="宋体" w:eastAsia="宋体" w:cs="宋体"/>
          <w:sz w:val="24"/>
          <w:szCs w:val="24"/>
        </w:rPr>
        <w:t>内完成整改，整改后重新提出验收申请。</w:t>
      </w:r>
    </w:p>
    <w:p w14:paraId="4EDBDAF4">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②代为恢复</w:t>
      </w:r>
      <w:r>
        <w:rPr>
          <w:rFonts w:hint="eastAsia" w:ascii="宋体" w:hAnsi="宋体" w:eastAsia="宋体" w:cs="宋体"/>
          <w:sz w:val="24"/>
          <w:szCs w:val="24"/>
        </w:rPr>
        <w:t>：累计2次验收不合格的，中标人须在验收之日起7个日历</w:t>
      </w:r>
      <w:r>
        <w:rPr>
          <w:rFonts w:hint="eastAsia" w:ascii="宋体" w:hAnsi="宋体" w:eastAsia="宋体" w:cs="宋体"/>
          <w:sz w:val="24"/>
          <w:szCs w:val="24"/>
          <w:lang w:val="en-US" w:eastAsia="zh-CN"/>
        </w:rPr>
        <w:t>天</w:t>
      </w:r>
      <w:r>
        <w:rPr>
          <w:rFonts w:hint="eastAsia" w:ascii="宋体" w:hAnsi="宋体" w:eastAsia="宋体" w:cs="宋体"/>
          <w:sz w:val="24"/>
          <w:szCs w:val="24"/>
        </w:rPr>
        <w:t>内自行拆除全部不合格设施，并恢复安装前原状。逾期未拆除或恢复不符合要求的，采购人有权自行或委托第三方代为恢复，所产生的一切费用（包括但不限于人工费、材料费、机械费、管理费等）由中标人承担，采购人有权从应付项目款中直接扣除。</w:t>
      </w:r>
    </w:p>
    <w:p w14:paraId="1FE4E00A">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③逾期情形</w:t>
      </w:r>
      <w:r>
        <w:rPr>
          <w:rFonts w:hint="eastAsia" w:ascii="宋体" w:hAnsi="宋体" w:eastAsia="宋体" w:cs="宋体"/>
          <w:sz w:val="24"/>
          <w:szCs w:val="24"/>
        </w:rPr>
        <w:t>：自前款约定的拆除恢复期限届满次日起，中标人仍未拆除恢复的，每逾期1个</w:t>
      </w:r>
      <w:r>
        <w:rPr>
          <w:rFonts w:hint="eastAsia" w:ascii="宋体" w:hAnsi="宋体" w:eastAsia="宋体" w:cs="宋体"/>
          <w:sz w:val="24"/>
          <w:szCs w:val="24"/>
          <w:lang w:eastAsia="zh-CN"/>
        </w:rPr>
        <w:t>日历天</w:t>
      </w:r>
      <w:r>
        <w:rPr>
          <w:rFonts w:hint="eastAsia" w:ascii="宋体" w:hAnsi="宋体" w:eastAsia="宋体" w:cs="宋体"/>
          <w:sz w:val="24"/>
          <w:szCs w:val="24"/>
        </w:rPr>
        <w:t>，采购人有权按中标总价的 1‰从应付项目款中扣除。</w:t>
      </w:r>
    </w:p>
    <w:p w14:paraId="4F5473F1">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④材料抽检违约</w:t>
      </w:r>
      <w:r>
        <w:rPr>
          <w:rFonts w:hint="eastAsia" w:ascii="宋体" w:hAnsi="宋体" w:eastAsia="宋体" w:cs="宋体"/>
          <w:sz w:val="24"/>
          <w:szCs w:val="24"/>
        </w:rPr>
        <w:t>：供货过程中，采购人有权对产品材料进行随机抽样送检。抽检结果不符合招标文件要求或投标响应标准的，采购人有权拒绝接收该批次产品，且视为该批次产品验收不合格，适用本款第①②③项处理措施。</w:t>
      </w:r>
    </w:p>
    <w:p w14:paraId="4204F675">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⑤弄虚作假处理</w:t>
      </w:r>
      <w:r>
        <w:rPr>
          <w:rFonts w:hint="eastAsia" w:ascii="宋体" w:hAnsi="宋体" w:eastAsia="宋体" w:cs="宋体"/>
          <w:sz w:val="24"/>
          <w:szCs w:val="24"/>
        </w:rPr>
        <w:t>：履约过程中，如查实中标人提供的资质、业绩、检测报告等材料存在弄虚作假的，视同中标人违约，中标人承担一切责任，采购人保留进一步追究其法律责任的权利。</w:t>
      </w:r>
    </w:p>
    <w:p w14:paraId="06B3F8AB">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⑥追究违约责任情形</w:t>
      </w:r>
      <w:r>
        <w:rPr>
          <w:rFonts w:hint="eastAsia" w:ascii="宋体" w:hAnsi="宋体" w:eastAsia="宋体" w:cs="宋体"/>
          <w:sz w:val="24"/>
          <w:szCs w:val="24"/>
        </w:rPr>
        <w:t>：发生下列情形之一的，采购人有权追究违约责任，中标人须按本款第②项约定拆除恢复：</w:t>
      </w:r>
    </w:p>
    <w:p w14:paraId="46C82F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成品勘验累计 2 次不合格的；</w:t>
      </w:r>
    </w:p>
    <w:p w14:paraId="37C898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验收累计 2 次不合格且拒不整改或整改后仍不合格的；</w:t>
      </w:r>
    </w:p>
    <w:p w14:paraId="0EB2669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履约过程中查实存在弄虚作假的；</w:t>
      </w:r>
    </w:p>
    <w:p w14:paraId="480777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其他严重违约行为导致合同目的无法实现的。</w:t>
      </w:r>
    </w:p>
    <w:p w14:paraId="081ECCE1">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eastAsia="宋体" w:cs="宋体"/>
          <w:b/>
          <w:bCs/>
          <w:sz w:val="24"/>
          <w:szCs w:val="24"/>
          <w:lang w:eastAsia="zh-CN"/>
        </w:rPr>
        <w:t>、</w:t>
      </w:r>
      <w:r>
        <w:rPr>
          <w:rFonts w:hint="eastAsia" w:ascii="宋体" w:hAnsi="宋体" w:eastAsia="宋体" w:cs="宋体"/>
          <w:b/>
          <w:bCs/>
          <w:sz w:val="24"/>
          <w:szCs w:val="24"/>
        </w:rPr>
        <w:t>质保及售后服务要求</w:t>
      </w:r>
    </w:p>
    <w:p w14:paraId="7DFD3CCB">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（1）质保期</w:t>
      </w:r>
      <w:r>
        <w:rPr>
          <w:rFonts w:hint="eastAsia" w:ascii="宋体" w:hAnsi="宋体" w:eastAsia="宋体" w:cs="宋体"/>
          <w:sz w:val="24"/>
          <w:szCs w:val="24"/>
        </w:rPr>
        <w:t>：验收合格并移交之日起3年。质保期内，所有设备设施（含智能控制系统、称重传感器、AI 识别模块等）因非人为原因损坏的，由中标人维修或更换，由此产生的费用包含在投标报价中。</w:t>
      </w:r>
    </w:p>
    <w:p w14:paraId="68553660">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（2）服务响应</w:t>
      </w:r>
      <w:r>
        <w:rPr>
          <w:rFonts w:hint="eastAsia" w:ascii="宋体" w:hAnsi="宋体" w:eastAsia="宋体" w:cs="宋体"/>
          <w:sz w:val="24"/>
          <w:szCs w:val="24"/>
        </w:rPr>
        <w:t>：提供7×24小时服务。采购人发起服务需求后，中标人响应时间不超过15分钟，1小时内派专业人员到达现场；硬件故障修复时间不超过2小时，特殊情况需延长的，须报采购人同意。</w:t>
      </w:r>
    </w:p>
    <w:p w14:paraId="5AD0D8C1">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（3）巡检保养</w:t>
      </w:r>
      <w:r>
        <w:rPr>
          <w:rFonts w:hint="eastAsia" w:ascii="宋体" w:hAnsi="宋体" w:eastAsia="宋体" w:cs="宋体"/>
          <w:sz w:val="24"/>
          <w:szCs w:val="24"/>
        </w:rPr>
        <w:t>：质保期内，中标人须每季度至少组织1次全面巡检，对设备进行保养维护，并形成巡检记录，作为回访依据。</w:t>
      </w:r>
    </w:p>
    <w:p w14:paraId="26B6D281">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（4）培训服务</w:t>
      </w:r>
      <w:r>
        <w:rPr>
          <w:rFonts w:hint="eastAsia" w:ascii="宋体" w:hAnsi="宋体" w:eastAsia="宋体" w:cs="宋体"/>
          <w:sz w:val="24"/>
          <w:szCs w:val="24"/>
        </w:rPr>
        <w:t>：中标人须提供使用培训，培训对象为物业服务人员、社区工作人员等，确保相关人员熟练掌握设备使用方法。</w:t>
      </w:r>
    </w:p>
    <w:p w14:paraId="648433D3">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六</w:t>
      </w:r>
      <w:r>
        <w:rPr>
          <w:rFonts w:hint="eastAsia" w:ascii="宋体" w:hAnsi="宋体" w:eastAsia="宋体" w:cs="宋体"/>
          <w:b/>
          <w:bCs/>
          <w:sz w:val="24"/>
          <w:szCs w:val="24"/>
        </w:rPr>
        <w:t>）供应商履约能力保障措施</w:t>
      </w:r>
    </w:p>
    <w:p w14:paraId="7F4FA9DB">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进场验收</w:t>
      </w:r>
      <w:r>
        <w:rPr>
          <w:rFonts w:hint="eastAsia" w:ascii="宋体" w:hAnsi="宋体" w:eastAsia="宋体" w:cs="宋体"/>
          <w:sz w:val="24"/>
          <w:szCs w:val="24"/>
        </w:rPr>
        <w:t>：合同签订后15个</w:t>
      </w:r>
      <w:r>
        <w:rPr>
          <w:rFonts w:hint="eastAsia" w:ascii="宋体" w:hAnsi="宋体" w:eastAsia="宋体" w:cs="宋体"/>
          <w:sz w:val="24"/>
          <w:szCs w:val="24"/>
          <w:lang w:eastAsia="zh-CN"/>
        </w:rPr>
        <w:t>日历天</w:t>
      </w:r>
      <w:r>
        <w:rPr>
          <w:rFonts w:hint="eastAsia" w:ascii="宋体" w:hAnsi="宋体" w:eastAsia="宋体" w:cs="宋体"/>
          <w:sz w:val="24"/>
          <w:szCs w:val="24"/>
        </w:rPr>
        <w:t>内，中标人须组建专业服务团队，明确项目负责人、安全负责人、售后服务人员等；完成</w:t>
      </w:r>
      <w:r>
        <w:rPr>
          <w:rFonts w:hint="eastAsia" w:ascii="宋体" w:hAnsi="宋体" w:eastAsia="宋体" w:cs="宋体"/>
          <w:sz w:val="24"/>
          <w:szCs w:val="24"/>
          <w:lang w:val="en-US" w:eastAsia="zh-CN"/>
        </w:rPr>
        <w:t>供货</w:t>
      </w:r>
      <w:r>
        <w:rPr>
          <w:rFonts w:hint="eastAsia" w:ascii="宋体" w:hAnsi="宋体" w:eastAsia="宋体" w:cs="宋体"/>
          <w:sz w:val="24"/>
          <w:szCs w:val="24"/>
        </w:rPr>
        <w:t>准备、</w:t>
      </w:r>
      <w:r>
        <w:rPr>
          <w:rFonts w:hint="eastAsia" w:ascii="宋体" w:hAnsi="宋体" w:eastAsia="宋体" w:cs="宋体"/>
          <w:sz w:val="24"/>
          <w:szCs w:val="24"/>
          <w:lang w:val="en-US" w:eastAsia="zh-CN"/>
        </w:rPr>
        <w:t>供货</w:t>
      </w:r>
      <w:r>
        <w:rPr>
          <w:rFonts w:hint="eastAsia" w:ascii="宋体" w:hAnsi="宋体" w:eastAsia="宋体" w:cs="宋体"/>
          <w:sz w:val="24"/>
          <w:szCs w:val="24"/>
        </w:rPr>
        <w:t>方案编制等，相关方案报采购人核验。</w:t>
      </w:r>
    </w:p>
    <w:p w14:paraId="2DBA5C0C">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成品勘验</w:t>
      </w:r>
      <w:r>
        <w:rPr>
          <w:rFonts w:hint="eastAsia" w:ascii="宋体" w:hAnsi="宋体" w:eastAsia="宋体" w:cs="宋体"/>
          <w:sz w:val="24"/>
          <w:szCs w:val="24"/>
        </w:rPr>
        <w:t>：合同签订后15个</w:t>
      </w:r>
      <w:r>
        <w:rPr>
          <w:rFonts w:hint="eastAsia" w:ascii="宋体" w:hAnsi="宋体" w:eastAsia="宋体" w:cs="宋体"/>
          <w:sz w:val="24"/>
          <w:szCs w:val="24"/>
          <w:lang w:eastAsia="zh-CN"/>
        </w:rPr>
        <w:t>日历天</w:t>
      </w:r>
      <w:r>
        <w:rPr>
          <w:rFonts w:hint="eastAsia" w:ascii="宋体" w:hAnsi="宋体" w:eastAsia="宋体" w:cs="宋体"/>
          <w:sz w:val="24"/>
          <w:szCs w:val="24"/>
        </w:rPr>
        <w:t>内，中标人须提供垃圾分类设施样品送至采购人指定地点或由采购人赴现场验收。验收合格后方可批量生产。</w:t>
      </w:r>
    </w:p>
    <w:p w14:paraId="78542BC6">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w:t>
      </w:r>
      <w:r>
        <w:rPr>
          <w:rFonts w:hint="eastAsia" w:ascii="宋体" w:hAnsi="宋体" w:eastAsia="宋体" w:cs="宋体"/>
          <w:b/>
          <w:bCs/>
          <w:sz w:val="24"/>
          <w:szCs w:val="24"/>
          <w:lang w:eastAsia="zh-CN"/>
        </w:rPr>
        <w:t>、</w:t>
      </w:r>
      <w:r>
        <w:rPr>
          <w:rFonts w:hint="eastAsia" w:ascii="宋体" w:hAnsi="宋体" w:eastAsia="宋体" w:cs="宋体"/>
          <w:b/>
          <w:bCs/>
          <w:sz w:val="24"/>
          <w:szCs w:val="24"/>
        </w:rPr>
        <w:t>到货查验</w:t>
      </w:r>
      <w:r>
        <w:rPr>
          <w:rFonts w:hint="eastAsia" w:ascii="宋体" w:hAnsi="宋体" w:eastAsia="宋体" w:cs="宋体"/>
          <w:sz w:val="24"/>
          <w:szCs w:val="24"/>
        </w:rPr>
        <w:t>：货物运抵现场后，采购人对数量、规格、外观等进行验收。</w:t>
      </w:r>
    </w:p>
    <w:p w14:paraId="2D85883D">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4</w:t>
      </w:r>
      <w:r>
        <w:rPr>
          <w:rFonts w:hint="eastAsia" w:ascii="宋体" w:hAnsi="宋体" w:eastAsia="宋体" w:cs="宋体"/>
          <w:b/>
          <w:bCs/>
          <w:sz w:val="24"/>
          <w:szCs w:val="24"/>
          <w:lang w:eastAsia="zh-CN"/>
        </w:rPr>
        <w:t>、</w:t>
      </w:r>
      <w:r>
        <w:rPr>
          <w:rFonts w:hint="eastAsia" w:ascii="宋体" w:hAnsi="宋体" w:eastAsia="宋体" w:cs="宋体"/>
          <w:b/>
          <w:bCs/>
          <w:sz w:val="24"/>
          <w:szCs w:val="24"/>
        </w:rPr>
        <w:t>完工验收</w:t>
      </w:r>
      <w:r>
        <w:rPr>
          <w:rFonts w:hint="eastAsia" w:ascii="宋体" w:hAnsi="宋体" w:eastAsia="宋体" w:cs="宋体"/>
          <w:sz w:val="24"/>
          <w:szCs w:val="24"/>
        </w:rPr>
        <w:t>：安装调试完成后，采购人组织联合验收，首批次验收时同步对软件平台、分拣中心、运营人员及收运车辆配置进行验收，合格后方可交付使用。</w:t>
      </w:r>
    </w:p>
    <w:p w14:paraId="4BBE662E">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5</w:t>
      </w:r>
      <w:r>
        <w:rPr>
          <w:rFonts w:hint="eastAsia" w:ascii="宋体" w:hAnsi="宋体" w:eastAsia="宋体" w:cs="宋体"/>
          <w:b/>
          <w:bCs/>
          <w:sz w:val="24"/>
          <w:szCs w:val="24"/>
          <w:lang w:eastAsia="zh-CN"/>
        </w:rPr>
        <w:t>、</w:t>
      </w:r>
      <w:r>
        <w:rPr>
          <w:rFonts w:hint="eastAsia" w:ascii="宋体" w:hAnsi="宋体" w:eastAsia="宋体" w:cs="宋体"/>
          <w:b/>
          <w:bCs/>
          <w:sz w:val="24"/>
          <w:szCs w:val="24"/>
        </w:rPr>
        <w:t>试运行验收</w:t>
      </w:r>
      <w:r>
        <w:rPr>
          <w:rFonts w:hint="eastAsia" w:ascii="宋体" w:hAnsi="宋体" w:eastAsia="宋体" w:cs="宋体"/>
          <w:sz w:val="24"/>
          <w:szCs w:val="24"/>
        </w:rPr>
        <w:t>：试运行期2周，运行无故障后办理移交手续。</w:t>
      </w:r>
    </w:p>
    <w:p w14:paraId="4DBED0F9">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三、报价要求</w:t>
      </w:r>
    </w:p>
    <w:p w14:paraId="4C809096">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投标总价</w:t>
      </w:r>
      <w:r>
        <w:rPr>
          <w:rFonts w:hint="eastAsia" w:ascii="宋体" w:hAnsi="宋体" w:eastAsia="宋体" w:cs="宋体"/>
          <w:sz w:val="24"/>
          <w:szCs w:val="24"/>
        </w:rPr>
        <w:t>：投标人须针对本项目报总价，报价的内容包括但不限于产品费、设备费、安装调试费、硬件费、运输吊装费、耗材费、税费、</w:t>
      </w:r>
      <w:r>
        <w:rPr>
          <w:rFonts w:hint="eastAsia" w:ascii="宋体" w:hAnsi="宋体" w:eastAsia="宋体" w:cs="宋体"/>
          <w:sz w:val="24"/>
          <w:szCs w:val="24"/>
          <w:lang w:val="en-US" w:eastAsia="zh-CN"/>
        </w:rPr>
        <w:t>培训费、</w:t>
      </w:r>
      <w:r>
        <w:rPr>
          <w:rFonts w:hint="eastAsia" w:ascii="宋体" w:hAnsi="宋体" w:eastAsia="宋体" w:cs="宋体"/>
          <w:sz w:val="24"/>
          <w:szCs w:val="24"/>
        </w:rPr>
        <w:t>售后服务费等完成本项目所需的一切费用，采购人后期不再追加任何费用。总价不得超过项目预算，否则投标无效。</w:t>
      </w:r>
    </w:p>
    <w:p w14:paraId="1BB04F2C">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2、</w:t>
      </w:r>
      <w:r>
        <w:rPr>
          <w:rFonts w:hint="eastAsia" w:ascii="宋体" w:hAnsi="宋体" w:eastAsia="宋体" w:cs="宋体"/>
          <w:b w:val="0"/>
          <w:bCs w:val="0"/>
          <w:sz w:val="24"/>
          <w:szCs w:val="24"/>
        </w:rPr>
        <w:t>采购人有权根据实际需要调整各类厢房、相关配套设施及其他改造内容的数量，调整后按中标单价据实结算，总结算费用不超过项目中标总金额。</w:t>
      </w:r>
    </w:p>
    <w:p w14:paraId="5EA92FA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风险承担：投标人应充分考虑项目实施过程中可能产生的所有费用及未预见风险，中标后报价不再调整，市场行情变化等风险由中标人自行承担。</w:t>
      </w:r>
    </w:p>
    <w:p w14:paraId="12D996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政策适应性：投标人应充分调研国内垃圾分类工作发展趋势，如国家和省市区出台的政策文件有调整，中标人须配合执行。</w:t>
      </w:r>
    </w:p>
    <w:p w14:paraId="3CEB079A">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四、其他要求</w:t>
      </w:r>
    </w:p>
    <w:p w14:paraId="43D99A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点位定制设计：所有安装具体地点由采购人确定。合同签订后中标人须对每个点位进行现场勘测，出具针对性的方案图纸，报采购人确定后实施。</w:t>
      </w:r>
    </w:p>
    <w:p w14:paraId="0FB57A8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升级</w:t>
      </w:r>
      <w:r>
        <w:rPr>
          <w:rFonts w:hint="eastAsia" w:ascii="宋体" w:hAnsi="宋体" w:eastAsia="宋体" w:cs="宋体"/>
          <w:sz w:val="24"/>
          <w:szCs w:val="24"/>
        </w:rPr>
        <w:t>范围：中标人负责点位地质及地下管线勘探、道路破复、基础</w:t>
      </w:r>
      <w:r>
        <w:rPr>
          <w:rFonts w:hint="eastAsia" w:ascii="宋体" w:hAnsi="宋体" w:eastAsia="宋体" w:cs="宋体"/>
          <w:sz w:val="24"/>
          <w:szCs w:val="24"/>
          <w:lang w:val="en-US" w:eastAsia="zh-CN"/>
        </w:rPr>
        <w:t>改造</w:t>
      </w:r>
      <w:r>
        <w:rPr>
          <w:rFonts w:hint="eastAsia" w:ascii="宋体" w:hAnsi="宋体" w:eastAsia="宋体" w:cs="宋体"/>
          <w:sz w:val="24"/>
          <w:szCs w:val="24"/>
        </w:rPr>
        <w:t>、土方外运、水电接入、主体安装、室内装修及其他相关配套工作。</w:t>
      </w:r>
    </w:p>
    <w:p w14:paraId="31AF8DE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升级</w:t>
      </w:r>
      <w:r>
        <w:rPr>
          <w:rFonts w:hint="eastAsia" w:ascii="宋体" w:hAnsi="宋体" w:eastAsia="宋体" w:cs="宋体"/>
          <w:sz w:val="24"/>
          <w:szCs w:val="24"/>
        </w:rPr>
        <w:t>前公示：采购人将中标人提供的点位方案及效果图在对应小区内进行公示7 个日历</w:t>
      </w:r>
      <w:r>
        <w:rPr>
          <w:rFonts w:hint="eastAsia" w:ascii="宋体" w:hAnsi="宋体" w:eastAsia="宋体" w:cs="宋体"/>
          <w:sz w:val="24"/>
          <w:szCs w:val="24"/>
          <w:lang w:val="en-US" w:eastAsia="zh-CN"/>
        </w:rPr>
        <w:t>天</w:t>
      </w:r>
      <w:r>
        <w:rPr>
          <w:rFonts w:hint="eastAsia" w:ascii="宋体" w:hAnsi="宋体" w:eastAsia="宋体" w:cs="宋体"/>
          <w:sz w:val="24"/>
          <w:szCs w:val="24"/>
        </w:rPr>
        <w:t>。公示</w:t>
      </w:r>
      <w:r>
        <w:rPr>
          <w:rFonts w:hint="eastAsia" w:ascii="宋体" w:hAnsi="宋体" w:eastAsia="宋体" w:cs="宋体"/>
          <w:sz w:val="24"/>
          <w:szCs w:val="24"/>
          <w:lang w:val="en-US" w:eastAsia="zh-CN"/>
        </w:rPr>
        <w:t>期满</w:t>
      </w:r>
      <w:r>
        <w:rPr>
          <w:rFonts w:hint="eastAsia" w:ascii="宋体" w:hAnsi="宋体" w:eastAsia="宋体" w:cs="宋体"/>
          <w:sz w:val="24"/>
          <w:szCs w:val="24"/>
        </w:rPr>
        <w:t>后，采购人通知中标人进场。中标人须在收到通知后3个</w:t>
      </w:r>
      <w:r>
        <w:rPr>
          <w:rFonts w:hint="eastAsia" w:ascii="宋体" w:hAnsi="宋体" w:eastAsia="宋体" w:cs="宋体"/>
          <w:sz w:val="24"/>
          <w:szCs w:val="24"/>
          <w:lang w:eastAsia="zh-CN"/>
        </w:rPr>
        <w:t>日历天</w:t>
      </w:r>
      <w:r>
        <w:rPr>
          <w:rFonts w:hint="eastAsia" w:ascii="宋体" w:hAnsi="宋体" w:eastAsia="宋体" w:cs="宋体"/>
          <w:sz w:val="24"/>
          <w:szCs w:val="24"/>
        </w:rPr>
        <w:t>内完成进场，逾期按中标总价的 1‰/日支付违约金，采购人有权从项目款中扣除。</w:t>
      </w:r>
    </w:p>
    <w:p w14:paraId="15478DF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拆迁调迁：如小区整体拆迁，该小区已安装的</w:t>
      </w:r>
      <w:r>
        <w:rPr>
          <w:rFonts w:hint="eastAsia" w:ascii="宋体" w:hAnsi="宋体" w:eastAsia="宋体" w:cs="宋体"/>
          <w:sz w:val="24"/>
          <w:szCs w:val="24"/>
          <w:lang w:val="en-US" w:eastAsia="zh-CN"/>
        </w:rPr>
        <w:t>点位</w:t>
      </w:r>
      <w:r>
        <w:rPr>
          <w:rFonts w:hint="eastAsia" w:ascii="宋体" w:hAnsi="宋体" w:eastAsia="宋体" w:cs="宋体"/>
          <w:sz w:val="24"/>
          <w:szCs w:val="24"/>
        </w:rPr>
        <w:t>须调迁至其他小区，可延续使用的设备由中标人负责迁移安装；</w:t>
      </w:r>
      <w:r>
        <w:rPr>
          <w:rFonts w:hint="eastAsia" w:ascii="宋体" w:hAnsi="宋体" w:eastAsia="宋体" w:cs="宋体"/>
          <w:sz w:val="24"/>
          <w:szCs w:val="24"/>
          <w:lang w:eastAsia="zh-CN"/>
        </w:rPr>
        <w:t>需</w:t>
      </w:r>
      <w:r>
        <w:rPr>
          <w:rFonts w:hint="eastAsia" w:ascii="宋体" w:hAnsi="宋体" w:eastAsia="宋体" w:cs="宋体"/>
          <w:sz w:val="24"/>
          <w:szCs w:val="24"/>
        </w:rPr>
        <w:t>重新</w:t>
      </w:r>
      <w:r>
        <w:rPr>
          <w:rFonts w:hint="eastAsia" w:ascii="宋体" w:hAnsi="宋体" w:eastAsia="宋体" w:cs="宋体"/>
          <w:sz w:val="24"/>
          <w:szCs w:val="24"/>
          <w:lang w:val="en-US" w:eastAsia="zh-CN"/>
        </w:rPr>
        <w:t>改造</w:t>
      </w:r>
      <w:r>
        <w:rPr>
          <w:rFonts w:hint="eastAsia" w:ascii="宋体" w:hAnsi="宋体" w:eastAsia="宋体" w:cs="宋体"/>
          <w:sz w:val="24"/>
          <w:szCs w:val="24"/>
        </w:rPr>
        <w:t>的部分，费用由采购人据实另行支付。</w:t>
      </w:r>
    </w:p>
    <w:p w14:paraId="513BDD3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产权移交：所有设施设备在验收通过之日起，产权归采购人所有。</w:t>
      </w:r>
    </w:p>
    <w:p w14:paraId="725153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材料核查：采购人有权在签订合同后对中标人响应的资质、业绩等原件材料进行核查，如核查发现材料不符合响应要求的，采购人有权追究违约责任。</w:t>
      </w:r>
    </w:p>
    <w:p w14:paraId="2F14CEE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相关核验：合同签订后供货前，采购人有权要求中标人提供相关产品第三方机构出具的证明材料（如检测（检验）报告等），以核验产品技术参数。</w:t>
      </w:r>
    </w:p>
    <w:p w14:paraId="643C72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原材料证明：中标人须向采购人提供主要材料（如钢材、板材等）的采购发票等证明材料，作为材料来源的证明。</w:t>
      </w:r>
    </w:p>
    <w:p w14:paraId="55EC1975">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9、投标时需提供垃圾分类房（亭）整体结构抗震性、抗风、抗压（承载能力）的</w:t>
      </w:r>
      <w:r>
        <w:rPr>
          <w:rFonts w:ascii="宋体" w:hAnsi="宋体" w:eastAsia="宋体" w:cs="宋体"/>
          <w:sz w:val="24"/>
          <w:szCs w:val="24"/>
        </w:rPr>
        <w:t>第三方CMA检测报告</w:t>
      </w:r>
      <w:r>
        <w:rPr>
          <w:rFonts w:hint="eastAsia" w:ascii="宋体" w:hAnsi="宋体" w:eastAsia="宋体" w:cs="宋体"/>
          <w:sz w:val="24"/>
          <w:szCs w:val="24"/>
          <w:lang w:val="en-US" w:eastAsia="zh-CN"/>
        </w:rPr>
        <w:t>。</w:t>
      </w:r>
    </w:p>
    <w:p w14:paraId="718BEBAA">
      <w:pPr>
        <w:rPr>
          <w:rFonts w:hint="eastAsia" w:ascii="宋体" w:hAnsi="宋体" w:eastAsia="宋体" w:cs="宋体"/>
          <w:sz w:val="24"/>
          <w:szCs w:val="24"/>
        </w:rPr>
      </w:pPr>
    </w:p>
    <w:p w14:paraId="5C65AE23">
      <w:pP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br w:type="page"/>
      </w:r>
    </w:p>
    <w:p w14:paraId="4E8B88A4">
      <w:pPr>
        <w:numPr>
          <w:ilvl w:val="-1"/>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货物效果图（仅供参考）</w:t>
      </w:r>
    </w:p>
    <w:p w14:paraId="0CD2EB89">
      <w:pPr>
        <w:numPr>
          <w:ilvl w:val="-1"/>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“两网融合”垃圾分类设施</w:t>
      </w:r>
    </w:p>
    <w:p w14:paraId="77A3F312">
      <w:pPr>
        <w:numPr>
          <w:ilvl w:val="-1"/>
          <w:numId w:val="0"/>
        </w:num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1、布局示意图</w:t>
      </w:r>
    </w:p>
    <w:p w14:paraId="3537F3D7">
      <w:pPr>
        <w:numPr>
          <w:ilvl w:val="-1"/>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drawing>
          <wp:inline distT="0" distB="0" distL="114300" distR="114300">
            <wp:extent cx="5388610" cy="3496945"/>
            <wp:effectExtent l="0" t="0" r="2540" b="8255"/>
            <wp:docPr id="7" name="图片 7" descr="3cf83cd84d9bbcc285d2ddf250956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cf83cd84d9bbcc285d2ddf250956c12"/>
                    <pic:cNvPicPr>
                      <a:picLocks noChangeAspect="1"/>
                    </pic:cNvPicPr>
                  </pic:nvPicPr>
                  <pic:blipFill>
                    <a:blip r:embed="rId6"/>
                    <a:stretch>
                      <a:fillRect/>
                    </a:stretch>
                  </pic:blipFill>
                  <pic:spPr>
                    <a:xfrm>
                      <a:off x="0" y="0"/>
                      <a:ext cx="5388610" cy="3496945"/>
                    </a:xfrm>
                    <a:prstGeom prst="rect">
                      <a:avLst/>
                    </a:prstGeom>
                  </pic:spPr>
                </pic:pic>
              </a:graphicData>
            </a:graphic>
          </wp:inline>
        </w:drawing>
      </w:r>
    </w:p>
    <w:p w14:paraId="6A422880">
      <w:pPr>
        <w:numPr>
          <w:ilvl w:val="-1"/>
          <w:numId w:val="0"/>
        </w:num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2、效果图</w:t>
      </w:r>
    </w:p>
    <w:p w14:paraId="6848971C">
      <w:pPr>
        <w:spacing w:line="240" w:lineRule="auto"/>
        <w:jc w:val="left"/>
        <w:outlineLvl w:val="9"/>
        <w:rPr>
          <w:rFonts w:hint="eastAsia" w:ascii="宋体" w:hAnsi="宋体" w:eastAsia="宋体" w:cs="宋体"/>
          <w:b/>
          <w:color w:val="auto"/>
          <w:sz w:val="28"/>
          <w:highlight w:val="none"/>
        </w:rPr>
      </w:pPr>
      <w:bookmarkStart w:id="4" w:name="_Toc6637"/>
      <w:r>
        <w:rPr>
          <w:rFonts w:hint="eastAsia" w:ascii="宋体" w:hAnsi="宋体" w:eastAsia="宋体" w:cs="宋体"/>
          <w:b/>
          <w:color w:val="auto"/>
          <w:sz w:val="28"/>
          <w:lang w:eastAsia="zh-CN"/>
        </w:rPr>
        <w:drawing>
          <wp:inline distT="0" distB="0" distL="114300" distR="114300">
            <wp:extent cx="5753735" cy="3988435"/>
            <wp:effectExtent l="0" t="0" r="18415" b="12065"/>
            <wp:docPr id="4" name="图片 4" descr="c1d7c0628a08a821dc31b181593e7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1d7c0628a08a821dc31b181593e7e96"/>
                    <pic:cNvPicPr>
                      <a:picLocks noChangeAspect="1"/>
                    </pic:cNvPicPr>
                  </pic:nvPicPr>
                  <pic:blipFill>
                    <a:blip r:embed="rId7"/>
                    <a:stretch>
                      <a:fillRect/>
                    </a:stretch>
                  </pic:blipFill>
                  <pic:spPr>
                    <a:xfrm>
                      <a:off x="0" y="0"/>
                      <a:ext cx="5753735" cy="3988435"/>
                    </a:xfrm>
                    <a:prstGeom prst="rect">
                      <a:avLst/>
                    </a:prstGeom>
                  </pic:spPr>
                </pic:pic>
              </a:graphicData>
            </a:graphic>
          </wp:inline>
        </w:drawing>
      </w:r>
    </w:p>
    <w:p w14:paraId="309B366E">
      <w:pPr>
        <w:spacing w:line="240" w:lineRule="auto"/>
        <w:jc w:val="left"/>
        <w:outlineLvl w:val="9"/>
        <w:rPr>
          <w:rFonts w:hint="default" w:ascii="宋体" w:hAnsi="宋体" w:eastAsia="宋体" w:cs="宋体"/>
          <w:b/>
          <w:color w:val="auto"/>
          <w:sz w:val="28"/>
          <w:highlight w:val="none"/>
          <w:lang w:val="en-US" w:eastAsia="zh-CN"/>
        </w:rPr>
      </w:pPr>
      <w:r>
        <w:rPr>
          <w:rFonts w:hint="eastAsia" w:ascii="宋体" w:hAnsi="宋体" w:eastAsia="宋体" w:cs="宋体"/>
          <w:b/>
          <w:color w:val="auto"/>
          <w:sz w:val="28"/>
          <w:highlight w:val="none"/>
          <w:lang w:val="en-US" w:eastAsia="zh-CN"/>
        </w:rPr>
        <w:t>升级垃圾分类设施效果图</w:t>
      </w:r>
    </w:p>
    <w:p w14:paraId="5E0611B3">
      <w:pPr>
        <w:spacing w:line="240" w:lineRule="auto"/>
        <w:jc w:val="left"/>
        <w:outlineLvl w:val="9"/>
        <w:rPr>
          <w:rFonts w:hint="eastAsia" w:ascii="宋体" w:hAnsi="宋体" w:eastAsia="宋体" w:cs="宋体"/>
          <w:b/>
          <w:color w:val="auto"/>
          <w:sz w:val="28"/>
          <w:highlight w:val="none"/>
          <w:lang w:eastAsia="zh-CN"/>
        </w:rPr>
      </w:pPr>
      <w:r>
        <w:rPr>
          <w:rFonts w:hint="eastAsia" w:ascii="宋体" w:hAnsi="宋体" w:eastAsia="宋体" w:cs="宋体"/>
          <w:b/>
          <w:color w:val="auto"/>
          <w:sz w:val="28"/>
          <w:highlight w:val="none"/>
          <w:lang w:eastAsia="zh-CN"/>
        </w:rPr>
        <w:drawing>
          <wp:inline distT="0" distB="0" distL="114300" distR="114300">
            <wp:extent cx="5267960" cy="3950335"/>
            <wp:effectExtent l="0" t="0" r="8890" b="12065"/>
            <wp:docPr id="1" name="图片 1" descr="739d745cb196316411d4f60ebb32e0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39d745cb196316411d4f60ebb32e0ab"/>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p w14:paraId="75E1EF4C">
      <w:pPr>
        <w:jc w:val="left"/>
        <w:outlineLvl w:val="9"/>
        <w:rPr>
          <w:color w:val="auto"/>
          <w:highlight w:val="none"/>
        </w:rPr>
      </w:pPr>
      <w:bookmarkStart w:id="5" w:name="_GoBack"/>
      <w:bookmarkEnd w:id="5"/>
      <w:r>
        <w:rPr>
          <w:rFonts w:hint="eastAsia" w:ascii="宋体" w:hAnsi="宋体" w:eastAsia="宋体" w:cs="宋体"/>
          <w:b/>
          <w:color w:val="auto"/>
          <w:sz w:val="28"/>
          <w:highlight w:val="none"/>
        </w:rPr>
        <w:drawing>
          <wp:inline distT="0" distB="0" distL="114300" distR="114300">
            <wp:extent cx="5323840" cy="3802380"/>
            <wp:effectExtent l="0" t="0" r="10160" b="7620"/>
            <wp:docPr id="10" name="图片 10" descr="2274190e2f1984ac6984319edc7412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274190e2f1984ac6984319edc74127e"/>
                    <pic:cNvPicPr>
                      <a:picLocks noChangeAspect="1"/>
                    </pic:cNvPicPr>
                  </pic:nvPicPr>
                  <pic:blipFill>
                    <a:blip r:embed="rId9"/>
                    <a:stretch>
                      <a:fillRect/>
                    </a:stretch>
                  </pic:blipFill>
                  <pic:spPr>
                    <a:xfrm>
                      <a:off x="0" y="0"/>
                      <a:ext cx="5323840" cy="3802380"/>
                    </a:xfrm>
                    <a:prstGeom prst="rect">
                      <a:avLst/>
                    </a:prstGeom>
                  </pic:spPr>
                </pic:pic>
              </a:graphicData>
            </a:graphic>
          </wp:inline>
        </w:drawing>
      </w:r>
      <w:bookmarkEnd w:id="4"/>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9D13E3BE-179B-423A-9E98-75214D252F4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D197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CA5F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4CA5F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B507A">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B3AF0"/>
    <w:rsid w:val="0061007C"/>
    <w:rsid w:val="008322BB"/>
    <w:rsid w:val="029600E7"/>
    <w:rsid w:val="031E451D"/>
    <w:rsid w:val="03B20F8C"/>
    <w:rsid w:val="03E017D2"/>
    <w:rsid w:val="04D000D1"/>
    <w:rsid w:val="04DF5F2E"/>
    <w:rsid w:val="04E75743"/>
    <w:rsid w:val="051A0B8C"/>
    <w:rsid w:val="052746FA"/>
    <w:rsid w:val="053242B0"/>
    <w:rsid w:val="0539563E"/>
    <w:rsid w:val="053A55E5"/>
    <w:rsid w:val="0575419C"/>
    <w:rsid w:val="06113EC5"/>
    <w:rsid w:val="069450BE"/>
    <w:rsid w:val="06E415DA"/>
    <w:rsid w:val="07027CB2"/>
    <w:rsid w:val="070F453B"/>
    <w:rsid w:val="0723742E"/>
    <w:rsid w:val="07996868"/>
    <w:rsid w:val="08732C15"/>
    <w:rsid w:val="08E21B49"/>
    <w:rsid w:val="09120680"/>
    <w:rsid w:val="092827D9"/>
    <w:rsid w:val="096E162E"/>
    <w:rsid w:val="09A11A04"/>
    <w:rsid w:val="09B30627"/>
    <w:rsid w:val="09FE0C04"/>
    <w:rsid w:val="0B3F14D4"/>
    <w:rsid w:val="0BCB0FBA"/>
    <w:rsid w:val="0BF26547"/>
    <w:rsid w:val="0CA23AC9"/>
    <w:rsid w:val="0CCF6888"/>
    <w:rsid w:val="0E2F5FFF"/>
    <w:rsid w:val="0E651252"/>
    <w:rsid w:val="0E9658AF"/>
    <w:rsid w:val="0EDA02D8"/>
    <w:rsid w:val="0F4A5D3E"/>
    <w:rsid w:val="10716D15"/>
    <w:rsid w:val="10942807"/>
    <w:rsid w:val="11BC108F"/>
    <w:rsid w:val="12370EE2"/>
    <w:rsid w:val="14331B70"/>
    <w:rsid w:val="14524026"/>
    <w:rsid w:val="14BC77B5"/>
    <w:rsid w:val="157A2AC8"/>
    <w:rsid w:val="15C600ED"/>
    <w:rsid w:val="16A3500D"/>
    <w:rsid w:val="170821EC"/>
    <w:rsid w:val="174C7453"/>
    <w:rsid w:val="17CF598E"/>
    <w:rsid w:val="18400AE6"/>
    <w:rsid w:val="19526877"/>
    <w:rsid w:val="19530EB1"/>
    <w:rsid w:val="195425EF"/>
    <w:rsid w:val="19573E8D"/>
    <w:rsid w:val="19774C3B"/>
    <w:rsid w:val="19A0303E"/>
    <w:rsid w:val="1A5B5BFF"/>
    <w:rsid w:val="1A9A6F5E"/>
    <w:rsid w:val="1AA932AB"/>
    <w:rsid w:val="1AE67F2F"/>
    <w:rsid w:val="1C097164"/>
    <w:rsid w:val="1C4F709D"/>
    <w:rsid w:val="1CA27B15"/>
    <w:rsid w:val="1CBB2985"/>
    <w:rsid w:val="1D341B78"/>
    <w:rsid w:val="1E1C6435"/>
    <w:rsid w:val="1EB45B8F"/>
    <w:rsid w:val="1EE9493F"/>
    <w:rsid w:val="1F436F19"/>
    <w:rsid w:val="1FA616CA"/>
    <w:rsid w:val="1FBC6B7D"/>
    <w:rsid w:val="1FF05470"/>
    <w:rsid w:val="207B2B57"/>
    <w:rsid w:val="20E71F9A"/>
    <w:rsid w:val="21294361"/>
    <w:rsid w:val="21325CB9"/>
    <w:rsid w:val="21750686"/>
    <w:rsid w:val="219519F6"/>
    <w:rsid w:val="21FA44D0"/>
    <w:rsid w:val="220A4192"/>
    <w:rsid w:val="22851A6B"/>
    <w:rsid w:val="22B02CCD"/>
    <w:rsid w:val="231A0405"/>
    <w:rsid w:val="23865DEB"/>
    <w:rsid w:val="23CB7AE6"/>
    <w:rsid w:val="24020572"/>
    <w:rsid w:val="242552B4"/>
    <w:rsid w:val="243A6885"/>
    <w:rsid w:val="245C476E"/>
    <w:rsid w:val="25B54415"/>
    <w:rsid w:val="26A64B87"/>
    <w:rsid w:val="272D245F"/>
    <w:rsid w:val="27605F57"/>
    <w:rsid w:val="282D5606"/>
    <w:rsid w:val="28733369"/>
    <w:rsid w:val="289F44B2"/>
    <w:rsid w:val="28B16789"/>
    <w:rsid w:val="293335D4"/>
    <w:rsid w:val="2976210D"/>
    <w:rsid w:val="2A8E3487"/>
    <w:rsid w:val="2AE905B1"/>
    <w:rsid w:val="2CC44D1E"/>
    <w:rsid w:val="2CD05FD9"/>
    <w:rsid w:val="2E1168A9"/>
    <w:rsid w:val="2E271C28"/>
    <w:rsid w:val="2EBD433B"/>
    <w:rsid w:val="2EE34559"/>
    <w:rsid w:val="2EFB7018"/>
    <w:rsid w:val="2F503401"/>
    <w:rsid w:val="304B26BB"/>
    <w:rsid w:val="30E8664A"/>
    <w:rsid w:val="31745184"/>
    <w:rsid w:val="32555C7F"/>
    <w:rsid w:val="32CE6B16"/>
    <w:rsid w:val="32D13927"/>
    <w:rsid w:val="32E60A1F"/>
    <w:rsid w:val="336D632F"/>
    <w:rsid w:val="337C47C4"/>
    <w:rsid w:val="33AB50A9"/>
    <w:rsid w:val="33D103BB"/>
    <w:rsid w:val="34262B97"/>
    <w:rsid w:val="34A9783B"/>
    <w:rsid w:val="34F30AB6"/>
    <w:rsid w:val="35156C7E"/>
    <w:rsid w:val="35D16C04"/>
    <w:rsid w:val="362E5529"/>
    <w:rsid w:val="36745C27"/>
    <w:rsid w:val="36F67098"/>
    <w:rsid w:val="37647620"/>
    <w:rsid w:val="377834F5"/>
    <w:rsid w:val="381A45AC"/>
    <w:rsid w:val="389143F1"/>
    <w:rsid w:val="38C764E2"/>
    <w:rsid w:val="398947E7"/>
    <w:rsid w:val="398B39B3"/>
    <w:rsid w:val="39E674EC"/>
    <w:rsid w:val="39FA2865"/>
    <w:rsid w:val="3AA91A18"/>
    <w:rsid w:val="3C28346E"/>
    <w:rsid w:val="3C2E5791"/>
    <w:rsid w:val="3C8B5A78"/>
    <w:rsid w:val="3D7518FA"/>
    <w:rsid w:val="3E614CE2"/>
    <w:rsid w:val="3E650793"/>
    <w:rsid w:val="3F09713A"/>
    <w:rsid w:val="3F13053D"/>
    <w:rsid w:val="3F713F07"/>
    <w:rsid w:val="3FBF6165"/>
    <w:rsid w:val="3FC45529"/>
    <w:rsid w:val="4030282F"/>
    <w:rsid w:val="40477F08"/>
    <w:rsid w:val="40985C20"/>
    <w:rsid w:val="409C09C8"/>
    <w:rsid w:val="40DC2D46"/>
    <w:rsid w:val="40E10E39"/>
    <w:rsid w:val="41BD2B78"/>
    <w:rsid w:val="42467E42"/>
    <w:rsid w:val="42C91A04"/>
    <w:rsid w:val="4508410A"/>
    <w:rsid w:val="45336EA8"/>
    <w:rsid w:val="45F97EF6"/>
    <w:rsid w:val="461D2DB1"/>
    <w:rsid w:val="46284338"/>
    <w:rsid w:val="46674E60"/>
    <w:rsid w:val="468A0B4E"/>
    <w:rsid w:val="47AF2F63"/>
    <w:rsid w:val="47C32540"/>
    <w:rsid w:val="48B16866"/>
    <w:rsid w:val="48FB5D34"/>
    <w:rsid w:val="49016A01"/>
    <w:rsid w:val="491C2ED7"/>
    <w:rsid w:val="4981448B"/>
    <w:rsid w:val="499810E4"/>
    <w:rsid w:val="49CB3958"/>
    <w:rsid w:val="4A6A3171"/>
    <w:rsid w:val="4AB54208"/>
    <w:rsid w:val="4B0D743B"/>
    <w:rsid w:val="4D09101F"/>
    <w:rsid w:val="4D697710"/>
    <w:rsid w:val="4DB210B7"/>
    <w:rsid w:val="4E19574A"/>
    <w:rsid w:val="4E1F2D0D"/>
    <w:rsid w:val="4E6C5A1E"/>
    <w:rsid w:val="4EBA3303"/>
    <w:rsid w:val="4F043B94"/>
    <w:rsid w:val="4F851586"/>
    <w:rsid w:val="50B060E2"/>
    <w:rsid w:val="50E377D9"/>
    <w:rsid w:val="512A365A"/>
    <w:rsid w:val="514069D9"/>
    <w:rsid w:val="529E1C09"/>
    <w:rsid w:val="52E3552E"/>
    <w:rsid w:val="53B16803"/>
    <w:rsid w:val="53F90D2B"/>
    <w:rsid w:val="54166797"/>
    <w:rsid w:val="54444A33"/>
    <w:rsid w:val="552D54C7"/>
    <w:rsid w:val="555750DB"/>
    <w:rsid w:val="555D3FFE"/>
    <w:rsid w:val="564550D4"/>
    <w:rsid w:val="56701B0F"/>
    <w:rsid w:val="567E247E"/>
    <w:rsid w:val="56BF4844"/>
    <w:rsid w:val="56DC7541"/>
    <w:rsid w:val="57853398"/>
    <w:rsid w:val="578C4726"/>
    <w:rsid w:val="57CF0AB7"/>
    <w:rsid w:val="57F16C7F"/>
    <w:rsid w:val="5827444F"/>
    <w:rsid w:val="5884755E"/>
    <w:rsid w:val="58904A09"/>
    <w:rsid w:val="58920462"/>
    <w:rsid w:val="58946BBB"/>
    <w:rsid w:val="58B95933"/>
    <w:rsid w:val="58D36385"/>
    <w:rsid w:val="5922354D"/>
    <w:rsid w:val="59DE7BCE"/>
    <w:rsid w:val="59E00D5A"/>
    <w:rsid w:val="5A1D0200"/>
    <w:rsid w:val="5A702373"/>
    <w:rsid w:val="5AF6094D"/>
    <w:rsid w:val="5B3E50F4"/>
    <w:rsid w:val="5B4A57FD"/>
    <w:rsid w:val="5B8F0C89"/>
    <w:rsid w:val="5D3B5E04"/>
    <w:rsid w:val="5DD9443E"/>
    <w:rsid w:val="5E917E8F"/>
    <w:rsid w:val="5EEF00C4"/>
    <w:rsid w:val="5F427DC1"/>
    <w:rsid w:val="5F622211"/>
    <w:rsid w:val="5FF95DDF"/>
    <w:rsid w:val="5FFF6206"/>
    <w:rsid w:val="60BB607C"/>
    <w:rsid w:val="60BD0047"/>
    <w:rsid w:val="614D65A2"/>
    <w:rsid w:val="627310D2"/>
    <w:rsid w:val="639F57E1"/>
    <w:rsid w:val="63FC2C34"/>
    <w:rsid w:val="6509375E"/>
    <w:rsid w:val="659A0956"/>
    <w:rsid w:val="65AE59DE"/>
    <w:rsid w:val="65DD0C9E"/>
    <w:rsid w:val="666F3B91"/>
    <w:rsid w:val="66BB0B84"/>
    <w:rsid w:val="674913F9"/>
    <w:rsid w:val="682409AB"/>
    <w:rsid w:val="692F54EF"/>
    <w:rsid w:val="695B0530"/>
    <w:rsid w:val="698E2580"/>
    <w:rsid w:val="699634EB"/>
    <w:rsid w:val="69A73642"/>
    <w:rsid w:val="69A82ABF"/>
    <w:rsid w:val="6A401688"/>
    <w:rsid w:val="6D434614"/>
    <w:rsid w:val="6DA07690"/>
    <w:rsid w:val="6E4F6056"/>
    <w:rsid w:val="6F60676D"/>
    <w:rsid w:val="6FA5482C"/>
    <w:rsid w:val="6FC0720B"/>
    <w:rsid w:val="6FD76303"/>
    <w:rsid w:val="6FEC0A99"/>
    <w:rsid w:val="70BF5715"/>
    <w:rsid w:val="71610ACF"/>
    <w:rsid w:val="719B1193"/>
    <w:rsid w:val="71AF5789"/>
    <w:rsid w:val="72E256EB"/>
    <w:rsid w:val="72F57205"/>
    <w:rsid w:val="72FC7B32"/>
    <w:rsid w:val="7364475B"/>
    <w:rsid w:val="73986AB4"/>
    <w:rsid w:val="73D74B24"/>
    <w:rsid w:val="73F51C3B"/>
    <w:rsid w:val="74122000"/>
    <w:rsid w:val="7419338E"/>
    <w:rsid w:val="742E508B"/>
    <w:rsid w:val="7625601A"/>
    <w:rsid w:val="765129E2"/>
    <w:rsid w:val="768852C2"/>
    <w:rsid w:val="775E3CDB"/>
    <w:rsid w:val="7789082B"/>
    <w:rsid w:val="78286424"/>
    <w:rsid w:val="784F274B"/>
    <w:rsid w:val="787943FB"/>
    <w:rsid w:val="78970D25"/>
    <w:rsid w:val="79086C1D"/>
    <w:rsid w:val="79CC49FF"/>
    <w:rsid w:val="79D33333"/>
    <w:rsid w:val="7AD57AB7"/>
    <w:rsid w:val="7B566C76"/>
    <w:rsid w:val="7B826934"/>
    <w:rsid w:val="7BCA420F"/>
    <w:rsid w:val="7C921F30"/>
    <w:rsid w:val="7CC5735A"/>
    <w:rsid w:val="7DF2712A"/>
    <w:rsid w:val="7EC81A75"/>
    <w:rsid w:val="7F6A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rFonts w:ascii="Arial" w:hAnsi="Arial" w:eastAsia="黑体" w:cs="Arial"/>
    </w:rPr>
  </w:style>
  <w:style w:type="paragraph" w:styleId="5">
    <w:name w:val="Body Text"/>
    <w:basedOn w:val="1"/>
    <w:qFormat/>
    <w:uiPriority w:val="0"/>
    <w:pPr>
      <w:spacing w:after="120"/>
    </w:pPr>
    <w:rPr>
      <w:rFonts w:ascii="@微软简标宋" w:hAnsi="@微软简标宋" w:eastAsia="@微软简标宋" w:cs="@微软简标宋"/>
      <w:szCs w:val="24"/>
      <w:lang w:val="zh-CN"/>
    </w:rPr>
  </w:style>
  <w:style w:type="paragraph" w:styleId="6">
    <w:name w:val="Plain Text"/>
    <w:basedOn w:val="1"/>
    <w:qFormat/>
    <w:uiPriority w:val="99"/>
    <w:rPr>
      <w:rFonts w:ascii="宋体" w:hAnsi="Courier New" w:eastAsiaTheme="minorEastAsia" w:cstheme="minorBidi"/>
      <w:szCs w:val="22"/>
    </w:rPr>
  </w:style>
  <w:style w:type="paragraph" w:styleId="7">
    <w:name w:val="Date"/>
    <w:basedOn w:val="1"/>
    <w:next w:val="1"/>
    <w:qFormat/>
    <w:uiPriority w:val="0"/>
    <w:rPr>
      <w:rFonts w:ascii="Arial" w:hAnsi="Arial" w:eastAsia="宋体" w:cs="Arial"/>
      <w:b/>
      <w:sz w:val="2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1">
    <w:name w:val="toc 2"/>
    <w:basedOn w:val="1"/>
    <w:next w:val="1"/>
    <w:qFormat/>
    <w:uiPriority w:val="0"/>
    <w:pPr>
      <w:ind w:left="420" w:leftChars="200"/>
    </w:pPr>
  </w:style>
  <w:style w:type="paragraph" w:styleId="12">
    <w:name w:val="Normal (Web)"/>
    <w:basedOn w:val="1"/>
    <w:qFormat/>
    <w:uiPriority w:val="0"/>
    <w:pPr>
      <w:spacing w:before="100" w:beforeAutospacing="1" w:after="100" w:afterAutospacing="1"/>
      <w:jc w:val="left"/>
    </w:pPr>
    <w:rPr>
      <w:rFonts w:cs="Times New Roman"/>
      <w:kern w:val="0"/>
      <w:sz w:val="24"/>
    </w:rPr>
  </w:style>
  <w:style w:type="paragraph" w:styleId="13">
    <w:name w:val="index 1"/>
    <w:basedOn w:val="1"/>
    <w:next w:val="1"/>
    <w:qFormat/>
    <w:uiPriority w:val="0"/>
    <w:pPr>
      <w:jc w:val="center"/>
    </w:pPr>
    <w:rPr>
      <w:rFonts w:ascii="Arial" w:hAnsi="Arial" w:eastAsia="Arial" w:cs="Arial"/>
      <w:b/>
      <w:bCs/>
      <w:sz w:val="28"/>
    </w:rPr>
  </w:style>
  <w:style w:type="paragraph" w:styleId="14">
    <w:name w:val="Body Text First Indent"/>
    <w:basedOn w:val="5"/>
    <w:unhideWhenUsed/>
    <w:qFormat/>
    <w:uiPriority w:val="99"/>
    <w:pPr>
      <w:ind w:firstLine="420" w:firstLineChars="100"/>
    </w:pPr>
  </w:style>
  <w:style w:type="table" w:styleId="16">
    <w:name w:val="Table Grid"/>
    <w:basedOn w:val="15"/>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Emphasis"/>
    <w:basedOn w:val="17"/>
    <w:qFormat/>
    <w:uiPriority w:val="0"/>
    <w:rPr>
      <w:i/>
    </w:rPr>
  </w:style>
  <w:style w:type="paragraph" w:customStyle="1" w:styleId="19">
    <w:name w:val="目录 71"/>
    <w:basedOn w:val="1"/>
    <w:next w:val="1"/>
    <w:qFormat/>
    <w:uiPriority w:val="0"/>
    <w:pPr>
      <w:ind w:left="2520"/>
    </w:pPr>
    <w:rPr>
      <w:rFonts w:ascii="Calibri"/>
    </w:rPr>
  </w:style>
  <w:style w:type="paragraph" w:customStyle="1" w:styleId="20">
    <w:name w:val="Default"/>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customStyle="1" w:styleId="21">
    <w:name w:val="样式1"/>
    <w:basedOn w:val="1"/>
    <w:qFormat/>
    <w:uiPriority w:val="0"/>
    <w:pPr>
      <w:spacing w:before="75" w:line="277" w:lineRule="auto"/>
      <w:ind w:left="130" w:right="-9" w:firstLine="478"/>
    </w:pPr>
    <w:rPr>
      <w:rFonts w:ascii="宋体" w:hAnsi="宋体" w:eastAsia="宋体" w:cs="宋体"/>
      <w:snapToGrid w:val="0"/>
      <w:color w:val="000000"/>
      <w:spacing w:val="-1"/>
      <w:kern w:val="0"/>
      <w:sz w:val="24"/>
      <w:szCs w:val="24"/>
    </w:rPr>
  </w:style>
  <w:style w:type="paragraph" w:customStyle="1" w:styleId="22">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3">
    <w:name w:val="D&amp;L"/>
    <w:basedOn w:val="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24">
    <w:name w:val="Table Normal"/>
    <w:basedOn w:val="15"/>
    <w:autoRedefine/>
    <w:semiHidden/>
    <w:unhideWhenUsed/>
    <w:qFormat/>
    <w:uiPriority w:val="0"/>
    <w:tblPr>
      <w:tblCellMar>
        <w:top w:w="0" w:type="dxa"/>
        <w:left w:w="0" w:type="dxa"/>
        <w:bottom w:w="0" w:type="dxa"/>
        <w:right w:w="0" w:type="dxa"/>
      </w:tblCellMar>
    </w:tblPr>
  </w:style>
  <w:style w:type="paragraph" w:customStyle="1" w:styleId="25">
    <w:name w:val="Char Char Char Char Char Char Char1 Char"/>
    <w:basedOn w:val="1"/>
    <w:autoRedefine/>
    <w:qFormat/>
    <w:uiPriority w:val="0"/>
    <w:rPr>
      <w:rFonts w:ascii="Arial" w:hAnsi="Arial" w:eastAsia="宋体" w:cs="Arial"/>
      <w:sz w:val="24"/>
    </w:rPr>
  </w:style>
  <w:style w:type="paragraph" w:customStyle="1" w:styleId="26">
    <w:name w:val="Table Text"/>
    <w:basedOn w:val="1"/>
    <w:autoRedefine/>
    <w:semiHidden/>
    <w:qFormat/>
    <w:uiPriority w:val="0"/>
    <w:rPr>
      <w:rFonts w:ascii="Arial" w:hAnsi="Arial" w:eastAsia="Arial" w:cs="Arial"/>
      <w:sz w:val="21"/>
      <w:szCs w:val="21"/>
      <w:lang w:val="en-US" w:eastAsia="en-US" w:bidi="ar-SA"/>
    </w:rPr>
  </w:style>
  <w:style w:type="character" w:customStyle="1" w:styleId="27">
    <w:name w:val="font11"/>
    <w:basedOn w:val="17"/>
    <w:qFormat/>
    <w:uiPriority w:val="0"/>
    <w:rPr>
      <w:rFonts w:hint="eastAsia" w:ascii="宋体" w:hAnsi="宋体" w:eastAsia="宋体" w:cs="宋体"/>
      <w:b/>
      <w:bCs/>
      <w:color w:val="000000"/>
      <w:sz w:val="24"/>
      <w:szCs w:val="24"/>
      <w:u w:val="none"/>
    </w:rPr>
  </w:style>
  <w:style w:type="character" w:customStyle="1" w:styleId="28">
    <w:name w:val="font21"/>
    <w:basedOn w:val="1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4425</Words>
  <Characters>4606</Characters>
  <Lines>0</Lines>
  <Paragraphs>0</Paragraphs>
  <TotalTime>1</TotalTime>
  <ScaleCrop>false</ScaleCrop>
  <LinksUpToDate>false</LinksUpToDate>
  <CharactersWithSpaces>4608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2023-12-20T04:08:00Z</dcterms:created>
  <dc:creator>Administrator</dc:creator>
  <cp:lastModifiedBy>℡可乐雪碧</cp:lastModifiedBy>
  <dcterms:modified xsi:type="dcterms:W3CDTF">2026-09-23T09:06:02Z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61C05AA35D204B90BB3117DDCCF6D97F_13</vt:lpwstr>
  </property>
  <property fmtid="{D5CDD505-2E9C-101B-9397-08002B2CF9AE}" pid="4" name="KSOTemplateDocerSaveRecord">
    <vt:lpwstr>eyJoZGlkIjoiZDI4NGU0OGMzNDQ5ZGY0YzNiMTUyNzAxYmNjNDJhNGUiLCJ1c2VySWQiOiI1NjU5NzEwMzQifQ==</vt:lpwstr>
  </property>
</Properties>
</file>